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A9B" w:rsidRDefault="00C44A9B" w:rsidP="00C44A9B">
      <w:pPr>
        <w:rPr>
          <w:rFonts w:ascii="Arial" w:hAnsi="Arial" w:cs="Arial"/>
          <w:i/>
          <w:sz w:val="24"/>
          <w:szCs w:val="24"/>
        </w:rPr>
      </w:pPr>
      <w:bookmarkStart w:id="0" w:name="_GoBack"/>
      <w:bookmarkEnd w:id="0"/>
      <w:r w:rsidRPr="0021550B">
        <w:rPr>
          <w:rFonts w:ascii="Arial" w:hAnsi="Arial" w:cs="Arial"/>
          <w:b/>
          <w:noProof/>
          <w:sz w:val="28"/>
          <w:szCs w:val="28"/>
          <w:lang w:eastAsia="en-GB"/>
        </w:rPr>
        <w:drawing>
          <wp:inline distT="0" distB="0" distL="0" distR="0" wp14:anchorId="073CAD1E" wp14:editId="3DCA0A40">
            <wp:extent cx="3499200" cy="2343600"/>
            <wp:effectExtent l="0" t="0" r="6350" b="0"/>
            <wp:docPr id="2" name="Picture 2" descr="C:\Users\kpyke\Downloads\headline-press-release-datganiad-ir-wa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yke\Downloads\headline-press-release-datganiad-ir-was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9200" cy="2343600"/>
                    </a:xfrm>
                    <a:prstGeom prst="rect">
                      <a:avLst/>
                    </a:prstGeom>
                    <a:noFill/>
                    <a:ln>
                      <a:noFill/>
                    </a:ln>
                  </pic:spPr>
                </pic:pic>
              </a:graphicData>
            </a:graphic>
          </wp:inline>
        </w:drawing>
      </w:r>
    </w:p>
    <w:p w:rsidR="00C44A9B" w:rsidRDefault="00C44A9B" w:rsidP="00C44A9B">
      <w:pPr>
        <w:rPr>
          <w:rFonts w:ascii="Arial" w:hAnsi="Arial" w:cs="Arial"/>
          <w:i/>
          <w:sz w:val="24"/>
          <w:szCs w:val="24"/>
        </w:rPr>
      </w:pPr>
      <w:r w:rsidRPr="00E81B76">
        <w:rPr>
          <w:rFonts w:ascii="Arial" w:hAnsi="Arial" w:cs="Arial"/>
          <w:i/>
          <w:sz w:val="24"/>
          <w:szCs w:val="24"/>
        </w:rPr>
        <w:t>Embargoed until 00.01 hours Wednesday 27 March 2019</w:t>
      </w:r>
    </w:p>
    <w:p w:rsidR="00C44A9B" w:rsidRPr="00E81B76" w:rsidRDefault="00C44A9B" w:rsidP="00C44A9B">
      <w:pPr>
        <w:rPr>
          <w:rFonts w:ascii="Arial" w:hAnsi="Arial" w:cs="Arial"/>
          <w:i/>
          <w:sz w:val="24"/>
          <w:szCs w:val="24"/>
        </w:rPr>
      </w:pPr>
      <w:r>
        <w:rPr>
          <w:rFonts w:ascii="Arial" w:hAnsi="Arial" w:cs="Arial"/>
          <w:i/>
          <w:sz w:val="24"/>
          <w:szCs w:val="24"/>
        </w:rPr>
        <w:t>Welsh version below</w:t>
      </w:r>
    </w:p>
    <w:p w:rsidR="00C44A9B" w:rsidRPr="006320E5" w:rsidRDefault="00C44A9B" w:rsidP="00C44A9B">
      <w:pPr>
        <w:spacing w:after="0" w:line="240" w:lineRule="auto"/>
        <w:jc w:val="center"/>
        <w:rPr>
          <w:rFonts w:ascii="Arial" w:hAnsi="Arial" w:cs="Arial"/>
          <w:b/>
          <w:sz w:val="28"/>
          <w:szCs w:val="28"/>
        </w:rPr>
      </w:pPr>
      <w:r>
        <w:rPr>
          <w:rFonts w:ascii="Arial" w:hAnsi="Arial" w:cs="Arial"/>
          <w:b/>
          <w:sz w:val="28"/>
          <w:szCs w:val="28"/>
        </w:rPr>
        <w:t>People with cancer in deprived areas of Wales more likely to have a serious illness at diagnosis</w:t>
      </w:r>
      <w:r w:rsidRPr="006320E5">
        <w:rPr>
          <w:rFonts w:ascii="Arial" w:hAnsi="Arial" w:cs="Arial"/>
          <w:b/>
          <w:sz w:val="28"/>
          <w:szCs w:val="28"/>
        </w:rPr>
        <w:t>, new research shows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6320E5">
        <w:rPr>
          <w:rFonts w:ascii="Arial" w:hAnsi="Arial" w:cs="Arial"/>
          <w:sz w:val="24"/>
          <w:szCs w:val="24"/>
        </w:rPr>
        <w:t xml:space="preserve">People with cancer living in deprived areas of Wales are more likely to have another serious illness or disorder at diagnosis than those in the least deprived areas, according to </w:t>
      </w:r>
      <w:hyperlink r:id="rId8" w:anchor="!/vizhome/FinalWIP/Introduction" w:history="1">
        <w:r w:rsidRPr="00E83C0D">
          <w:rPr>
            <w:rStyle w:val="Hyperlink"/>
            <w:rFonts w:ascii="Arial" w:hAnsi="Arial" w:cs="Arial"/>
            <w:sz w:val="24"/>
            <w:szCs w:val="24"/>
          </w:rPr>
          <w:t>new research</w:t>
        </w:r>
      </w:hyperlink>
      <w:r w:rsidRPr="006320E5">
        <w:rPr>
          <w:rFonts w:ascii="Arial" w:hAnsi="Arial" w:cs="Arial"/>
          <w:sz w:val="24"/>
          <w:szCs w:val="24"/>
        </w:rPr>
        <w:t xml:space="preserve"> by Macmillan Cancer Support and Public Health Wales’ Welsh Cancer Intelligence and Surveillance Unit.</w:t>
      </w:r>
    </w:p>
    <w:p w:rsidR="00C44A9B" w:rsidRDefault="00C44A9B" w:rsidP="00C44A9B">
      <w:pPr>
        <w:spacing w:after="0" w:line="240" w:lineRule="auto"/>
        <w:rPr>
          <w:rFonts w:ascii="Arial" w:hAnsi="Arial" w:cs="Arial"/>
          <w:sz w:val="24"/>
          <w:szCs w:val="24"/>
        </w:rPr>
      </w:pPr>
    </w:p>
    <w:p w:rsidR="00C44A9B" w:rsidRPr="0040322B" w:rsidRDefault="00C44A9B" w:rsidP="00C44A9B">
      <w:pPr>
        <w:rPr>
          <w:rFonts w:ascii="Arial" w:hAnsi="Arial" w:cs="Arial"/>
          <w:sz w:val="24"/>
          <w:szCs w:val="24"/>
        </w:rPr>
      </w:pPr>
      <w:r w:rsidRPr="0040322B">
        <w:rPr>
          <w:rFonts w:ascii="Arial" w:hAnsi="Arial" w:cs="Arial"/>
          <w:sz w:val="24"/>
          <w:szCs w:val="24"/>
        </w:rPr>
        <w:t>This could make it more difficult for NHS services to diagnose cancer early in these patients, as well as present challenges for services that plan and deliver cancer treatment.</w:t>
      </w:r>
    </w:p>
    <w:p w:rsidR="00C44A9B" w:rsidRDefault="00C44A9B" w:rsidP="00C44A9B">
      <w:pPr>
        <w:spacing w:after="0" w:line="240" w:lineRule="auto"/>
        <w:rPr>
          <w:rFonts w:ascii="Arial" w:hAnsi="Arial" w:cs="Arial"/>
          <w:sz w:val="24"/>
          <w:szCs w:val="24"/>
        </w:rPr>
      </w:pPr>
      <w:r w:rsidRPr="006320E5">
        <w:rPr>
          <w:rFonts w:ascii="Arial" w:hAnsi="Arial" w:cs="Arial"/>
          <w:sz w:val="24"/>
          <w:szCs w:val="24"/>
        </w:rPr>
        <w:t xml:space="preserve">The research, the first of its kind in Wales, and believed to be the first of </w:t>
      </w:r>
      <w:r>
        <w:rPr>
          <w:rFonts w:ascii="Arial" w:hAnsi="Arial" w:cs="Arial"/>
          <w:sz w:val="24"/>
          <w:szCs w:val="24"/>
        </w:rPr>
        <w:t>its kind in the UK</w:t>
      </w:r>
      <w:r w:rsidRPr="006320E5">
        <w:rPr>
          <w:rFonts w:ascii="Arial" w:hAnsi="Arial" w:cs="Arial"/>
          <w:sz w:val="24"/>
          <w:szCs w:val="24"/>
        </w:rPr>
        <w:t>, reveals</w:t>
      </w:r>
      <w:r>
        <w:rPr>
          <w:rFonts w:ascii="Arial" w:hAnsi="Arial" w:cs="Arial"/>
          <w:sz w:val="24"/>
          <w:szCs w:val="24"/>
        </w:rPr>
        <w:t xml:space="preserve"> at least</w:t>
      </w:r>
      <w:r w:rsidRPr="006320E5">
        <w:rPr>
          <w:rFonts w:ascii="Arial" w:hAnsi="Arial" w:cs="Arial"/>
          <w:sz w:val="24"/>
          <w:szCs w:val="24"/>
        </w:rPr>
        <w:t xml:space="preserve"> one in four people diagnosed with cancer in Wales between 2011 and 2015 </w:t>
      </w:r>
      <w:r>
        <w:rPr>
          <w:rFonts w:ascii="Arial" w:hAnsi="Arial" w:cs="Arial"/>
          <w:sz w:val="24"/>
          <w:szCs w:val="24"/>
        </w:rPr>
        <w:t>were</w:t>
      </w:r>
      <w:r w:rsidRPr="006320E5">
        <w:rPr>
          <w:rFonts w:ascii="Arial" w:hAnsi="Arial" w:cs="Arial"/>
          <w:sz w:val="24"/>
          <w:szCs w:val="24"/>
        </w:rPr>
        <w:t xml:space="preserve"> already living with another serious disorder or illness such as diabetes, dementia, and heart failure.</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 xml:space="preserve">And people with cancer are less likely to survive for a year following their diagnosis as the severity of or number of their existing illness or illnesses increases. </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This research reveals the challenges facing the NHS in diagnosing cancer early, as existing conditions and illnesses may hide cancer symptoms.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It also highlights how many people with cancer have other conditions or illnesses to manage at diagnosis, which poses further challenges to the NHS when planning and giving cancer treatment.</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 xml:space="preserve">The new research </w:t>
      </w:r>
      <w:r w:rsidRPr="0010039D">
        <w:rPr>
          <w:rFonts w:ascii="Arial" w:hAnsi="Arial" w:cs="Arial"/>
          <w:sz w:val="24"/>
          <w:szCs w:val="24"/>
        </w:rPr>
        <w:t>shows men are more likely to have an existing condition at diagnosis than women</w:t>
      </w:r>
      <w:r>
        <w:rPr>
          <w:rFonts w:ascii="Arial" w:hAnsi="Arial" w:cs="Arial"/>
          <w:sz w:val="24"/>
          <w:szCs w:val="24"/>
        </w:rPr>
        <w:t>.</w:t>
      </w:r>
    </w:p>
    <w:p w:rsidR="00C44A9B" w:rsidRPr="0010039D"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It also highlights</w:t>
      </w:r>
      <w:r w:rsidRPr="0010039D">
        <w:rPr>
          <w:rFonts w:ascii="Arial" w:hAnsi="Arial" w:cs="Arial"/>
          <w:sz w:val="24"/>
          <w:szCs w:val="24"/>
        </w:rPr>
        <w:t xml:space="preserve"> variation in the number of people with existing illnesses according to the type of cancer they have. </w:t>
      </w:r>
    </w:p>
    <w:p w:rsidR="00C44A9B" w:rsidRDefault="00C44A9B" w:rsidP="00C44A9B">
      <w:pPr>
        <w:spacing w:after="0" w:line="240" w:lineRule="auto"/>
        <w:rPr>
          <w:rFonts w:ascii="Arial" w:hAnsi="Arial" w:cs="Arial"/>
          <w:sz w:val="24"/>
          <w:szCs w:val="24"/>
        </w:rPr>
      </w:pPr>
    </w:p>
    <w:p w:rsidR="00C44A9B" w:rsidRDefault="00133FB5" w:rsidP="00C44A9B">
      <w:pPr>
        <w:spacing w:after="0" w:line="240" w:lineRule="auto"/>
        <w:rPr>
          <w:rFonts w:ascii="Arial" w:hAnsi="Arial" w:cs="Arial"/>
          <w:sz w:val="24"/>
          <w:szCs w:val="24"/>
        </w:rPr>
      </w:pPr>
      <w:r>
        <w:rPr>
          <w:rFonts w:ascii="Arial" w:hAnsi="Arial" w:cs="Arial"/>
          <w:sz w:val="24"/>
          <w:szCs w:val="24"/>
        </w:rPr>
        <w:lastRenderedPageBreak/>
        <w:t xml:space="preserve">Around a quarter </w:t>
      </w:r>
      <w:r w:rsidR="00C44A9B">
        <w:rPr>
          <w:rFonts w:ascii="Arial" w:hAnsi="Arial" w:cs="Arial"/>
          <w:sz w:val="24"/>
          <w:szCs w:val="24"/>
        </w:rPr>
        <w:t xml:space="preserve">of people with </w:t>
      </w:r>
      <w:r w:rsidR="00C44A9B" w:rsidRPr="0010039D">
        <w:rPr>
          <w:rFonts w:ascii="Arial" w:hAnsi="Arial" w:cs="Arial"/>
          <w:sz w:val="24"/>
          <w:szCs w:val="24"/>
        </w:rPr>
        <w:t>bowel</w:t>
      </w:r>
      <w:r w:rsidR="00C44A9B">
        <w:rPr>
          <w:rFonts w:ascii="Arial" w:hAnsi="Arial" w:cs="Arial"/>
          <w:sz w:val="24"/>
          <w:szCs w:val="24"/>
        </w:rPr>
        <w:t xml:space="preserve"> </w:t>
      </w:r>
      <w:r w:rsidR="00C44A9B" w:rsidRPr="0010039D">
        <w:rPr>
          <w:rFonts w:ascii="Arial" w:hAnsi="Arial" w:cs="Arial"/>
          <w:sz w:val="24"/>
          <w:szCs w:val="24"/>
        </w:rPr>
        <w:t xml:space="preserve">cancer had a significant illness or condition at diagnosis whereas 90 per cent of women with breast cancer and </w:t>
      </w:r>
      <w:r w:rsidR="00C44A9B">
        <w:rPr>
          <w:rFonts w:ascii="Arial" w:hAnsi="Arial" w:cs="Arial"/>
          <w:sz w:val="24"/>
          <w:szCs w:val="24"/>
        </w:rPr>
        <w:t xml:space="preserve">just over </w:t>
      </w:r>
      <w:r w:rsidR="00C44A9B" w:rsidRPr="0010039D">
        <w:rPr>
          <w:rFonts w:ascii="Arial" w:hAnsi="Arial" w:cs="Arial"/>
          <w:sz w:val="24"/>
          <w:szCs w:val="24"/>
        </w:rPr>
        <w:t xml:space="preserve">80 per cent of men with prostate cancer did not have an illness considered as part of this research when diagnosed.  </w:t>
      </w:r>
    </w:p>
    <w:p w:rsidR="00C44A9B" w:rsidRDefault="00C44A9B" w:rsidP="00C44A9B">
      <w:pPr>
        <w:spacing w:after="0" w:line="240" w:lineRule="auto"/>
        <w:rPr>
          <w:rFonts w:ascii="Arial" w:hAnsi="Arial" w:cs="Arial"/>
          <w:sz w:val="24"/>
          <w:szCs w:val="24"/>
        </w:rPr>
      </w:pPr>
    </w:p>
    <w:p w:rsidR="00C44A9B" w:rsidRPr="0010039D" w:rsidRDefault="00C44A9B" w:rsidP="00C44A9B">
      <w:pPr>
        <w:spacing w:after="0" w:line="240" w:lineRule="auto"/>
        <w:rPr>
          <w:rFonts w:ascii="Arial" w:hAnsi="Arial" w:cs="Arial"/>
          <w:sz w:val="24"/>
          <w:szCs w:val="24"/>
        </w:rPr>
      </w:pPr>
      <w:r>
        <w:rPr>
          <w:rFonts w:ascii="Arial" w:hAnsi="Arial" w:cs="Arial"/>
          <w:sz w:val="24"/>
          <w:szCs w:val="24"/>
        </w:rPr>
        <w:t>In contrast, people with lung cancer were</w:t>
      </w:r>
      <w:r w:rsidRPr="0010039D">
        <w:rPr>
          <w:rFonts w:ascii="Arial" w:hAnsi="Arial" w:cs="Arial"/>
          <w:sz w:val="24"/>
          <w:szCs w:val="24"/>
        </w:rPr>
        <w:t xml:space="preserve"> more likely to have an existing illness at diagnosis compared to people with other cancer types.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Out of the illnesses and disorders analysed, men living with and beyond cancer were most likely to have diabetes whereas women living with and beyond cancer were more likely to have respiratory illness.</w:t>
      </w:r>
    </w:p>
    <w:p w:rsidR="00C44A9B" w:rsidRPr="0010039D"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People with cancer who also had dementia had the lowest one-year survival rate. However, this could be because people with dementia tend to be older.</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Richard Pugh, Head of Services (Wales) for Macmillan Cancer Support</w:t>
      </w:r>
      <w:r>
        <w:rPr>
          <w:rFonts w:ascii="Arial" w:hAnsi="Arial" w:cs="Arial"/>
          <w:sz w:val="24"/>
          <w:szCs w:val="24"/>
        </w:rPr>
        <w:t xml:space="preserve"> said</w:t>
      </w:r>
      <w:r w:rsidRPr="0010039D">
        <w:rPr>
          <w:rFonts w:ascii="Arial" w:hAnsi="Arial" w:cs="Arial"/>
          <w:sz w:val="24"/>
          <w:szCs w:val="24"/>
        </w:rPr>
        <w:t>: “This in-depth research shows for the first time that people with cancer in Wales living in deprived areas are more likely to have an existing serious illness at diagnosis than people living in our least deprived areas.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“Macmillan wants people with cancer to live their lives as fully as they can so we hope this research highlights how many people are living with another condition or illnesses at diagnosis to health professionals and those planning cancer care.</w:t>
      </w:r>
    </w:p>
    <w:p w:rsidR="00C44A9B" w:rsidRPr="0010039D"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“Macmillan wants each person with cancer to be cared for as a whole person and to receive high quality cancer treatment which enables</w:t>
      </w:r>
      <w:r w:rsidRPr="0010039D">
        <w:rPr>
          <w:rFonts w:ascii="Arial" w:hAnsi="Arial" w:cs="Arial"/>
          <w:sz w:val="24"/>
          <w:szCs w:val="24"/>
        </w:rPr>
        <w:t xml:space="preserve"> their existing illnesses </w:t>
      </w:r>
      <w:r>
        <w:rPr>
          <w:rFonts w:ascii="Arial" w:hAnsi="Arial" w:cs="Arial"/>
          <w:sz w:val="24"/>
          <w:szCs w:val="24"/>
        </w:rPr>
        <w:t xml:space="preserve">to be </w:t>
      </w:r>
      <w:r w:rsidRPr="0010039D">
        <w:rPr>
          <w:rFonts w:ascii="Arial" w:hAnsi="Arial" w:cs="Arial"/>
          <w:sz w:val="24"/>
          <w:szCs w:val="24"/>
        </w:rPr>
        <w:t>managed well.</w:t>
      </w:r>
      <w:r>
        <w:rPr>
          <w:rFonts w:ascii="Arial" w:hAnsi="Arial" w:cs="Arial"/>
          <w:sz w:val="24"/>
          <w:szCs w:val="24"/>
        </w:rPr>
        <w:t xml:space="preserve"> </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“We’d also encourage people with existing illnesses not to dismiss any new or worsening symptoms and to visit their GP for advice.</w:t>
      </w:r>
      <w:r w:rsidRPr="0010039D">
        <w:rPr>
          <w:rFonts w:ascii="Arial" w:hAnsi="Arial" w:cs="Arial"/>
          <w:sz w:val="24"/>
          <w:szCs w:val="24"/>
        </w:rPr>
        <w:t xml:space="preserve">” </w:t>
      </w:r>
    </w:p>
    <w:p w:rsidR="00C44A9B" w:rsidRDefault="00C44A9B" w:rsidP="00C44A9B">
      <w:pPr>
        <w:spacing w:after="0" w:line="240" w:lineRule="auto"/>
        <w:rPr>
          <w:rFonts w:ascii="Arial" w:hAnsi="Arial" w:cs="Arial"/>
          <w:sz w:val="24"/>
          <w:szCs w:val="24"/>
        </w:rPr>
      </w:pPr>
    </w:p>
    <w:p w:rsidR="00C44A9B" w:rsidRPr="0030349F" w:rsidRDefault="00C44A9B" w:rsidP="00C44A9B">
      <w:pPr>
        <w:spacing w:after="0" w:line="240" w:lineRule="auto"/>
        <w:rPr>
          <w:rFonts w:ascii="Arial" w:hAnsi="Arial" w:cs="Arial"/>
          <w:sz w:val="24"/>
          <w:szCs w:val="24"/>
        </w:rPr>
      </w:pPr>
      <w:r w:rsidRPr="002030CC">
        <w:rPr>
          <w:rFonts w:ascii="Arial" w:hAnsi="Arial" w:cs="Arial"/>
          <w:sz w:val="24"/>
          <w:szCs w:val="24"/>
        </w:rPr>
        <w:t>Dr Ciarán Humphreys from Public Health Wales</w:t>
      </w:r>
      <w:r>
        <w:rPr>
          <w:rFonts w:ascii="Arial" w:hAnsi="Arial" w:cs="Arial"/>
          <w:sz w:val="24"/>
          <w:szCs w:val="24"/>
        </w:rPr>
        <w:t xml:space="preserve"> said</w:t>
      </w:r>
      <w:r w:rsidRPr="002030CC">
        <w:rPr>
          <w:rFonts w:ascii="Arial" w:hAnsi="Arial" w:cs="Arial"/>
          <w:sz w:val="24"/>
          <w:szCs w:val="24"/>
        </w:rPr>
        <w:t>:</w:t>
      </w:r>
      <w:r w:rsidRPr="00543AF7">
        <w:rPr>
          <w:rFonts w:ascii="Arial" w:hAnsi="Arial" w:cs="Arial"/>
          <w:sz w:val="24"/>
          <w:szCs w:val="24"/>
        </w:rPr>
        <w:t xml:space="preserve"> “This</w:t>
      </w:r>
      <w:r w:rsidRPr="0030349F">
        <w:rPr>
          <w:rFonts w:ascii="Arial" w:hAnsi="Arial" w:cs="Arial"/>
          <w:sz w:val="24"/>
          <w:szCs w:val="24"/>
        </w:rPr>
        <w:t xml:space="preserve"> research shows that cancer patients who had no other long-term conditions had better outcomes than those who had other serious illnesses. </w:t>
      </w:r>
    </w:p>
    <w:p w:rsidR="00C44A9B" w:rsidRPr="0030349F" w:rsidRDefault="00C44A9B" w:rsidP="00C44A9B">
      <w:pPr>
        <w:spacing w:after="0" w:line="240" w:lineRule="auto"/>
        <w:rPr>
          <w:rFonts w:ascii="Arial" w:hAnsi="Arial" w:cs="Arial"/>
          <w:sz w:val="24"/>
          <w:szCs w:val="24"/>
        </w:rPr>
      </w:pPr>
    </w:p>
    <w:p w:rsidR="00C44A9B" w:rsidRPr="0030349F" w:rsidRDefault="00C44A9B" w:rsidP="00C44A9B">
      <w:pPr>
        <w:spacing w:after="0" w:line="240" w:lineRule="auto"/>
        <w:rPr>
          <w:rFonts w:ascii="Arial" w:hAnsi="Arial" w:cs="Arial"/>
          <w:sz w:val="24"/>
          <w:szCs w:val="24"/>
        </w:rPr>
      </w:pPr>
      <w:r w:rsidRPr="0030349F">
        <w:rPr>
          <w:rFonts w:ascii="Arial" w:hAnsi="Arial" w:cs="Arial"/>
          <w:sz w:val="24"/>
          <w:szCs w:val="24"/>
        </w:rPr>
        <w:t>“Being physically active, not smoking, drinking less alcohol and eating nutritious food are all ways of reducing the risk of developing cancer and other long-term conditions, and improving outcom</w:t>
      </w:r>
      <w:r>
        <w:rPr>
          <w:rFonts w:ascii="Arial" w:hAnsi="Arial" w:cs="Arial"/>
          <w:sz w:val="24"/>
          <w:szCs w:val="24"/>
        </w:rPr>
        <w:t>es for those who are diagnosed.</w:t>
      </w:r>
    </w:p>
    <w:p w:rsidR="00C44A9B" w:rsidRPr="0030349F" w:rsidRDefault="00C44A9B" w:rsidP="00C44A9B">
      <w:pPr>
        <w:spacing w:after="0" w:line="240" w:lineRule="auto"/>
        <w:rPr>
          <w:rFonts w:ascii="Arial" w:hAnsi="Arial" w:cs="Arial"/>
          <w:sz w:val="24"/>
          <w:szCs w:val="24"/>
        </w:rPr>
      </w:pPr>
    </w:p>
    <w:p w:rsidR="00C44A9B" w:rsidRPr="0030349F" w:rsidRDefault="00C44A9B" w:rsidP="00C44A9B">
      <w:pPr>
        <w:spacing w:after="0" w:line="240" w:lineRule="auto"/>
        <w:rPr>
          <w:rFonts w:ascii="Arial" w:hAnsi="Arial" w:cs="Arial"/>
          <w:sz w:val="24"/>
          <w:szCs w:val="24"/>
        </w:rPr>
      </w:pPr>
      <w:r w:rsidRPr="0030349F">
        <w:rPr>
          <w:rFonts w:ascii="Arial" w:hAnsi="Arial" w:cs="Arial"/>
          <w:sz w:val="24"/>
          <w:szCs w:val="24"/>
        </w:rPr>
        <w:t xml:space="preserve"> “GPs </w:t>
      </w:r>
      <w:r>
        <w:rPr>
          <w:rFonts w:ascii="Arial" w:hAnsi="Arial" w:cs="Arial"/>
          <w:sz w:val="24"/>
          <w:szCs w:val="24"/>
        </w:rPr>
        <w:t xml:space="preserve">and local planners can now access this data through a flexible, on line tool, to support them in </w:t>
      </w:r>
      <w:r w:rsidRPr="0030349F">
        <w:rPr>
          <w:rFonts w:ascii="Arial" w:hAnsi="Arial" w:cs="Arial"/>
          <w:sz w:val="24"/>
          <w:szCs w:val="24"/>
        </w:rPr>
        <w:t>better understand</w:t>
      </w:r>
      <w:r>
        <w:rPr>
          <w:rFonts w:ascii="Arial" w:hAnsi="Arial" w:cs="Arial"/>
          <w:sz w:val="24"/>
          <w:szCs w:val="24"/>
        </w:rPr>
        <w:t>ing</w:t>
      </w:r>
      <w:r w:rsidRPr="0030349F">
        <w:rPr>
          <w:rFonts w:ascii="Arial" w:hAnsi="Arial" w:cs="Arial"/>
          <w:sz w:val="24"/>
          <w:szCs w:val="24"/>
        </w:rPr>
        <w:t xml:space="preserve"> the needs of their local population”.</w:t>
      </w:r>
    </w:p>
    <w:p w:rsidR="00C44A9B" w:rsidRPr="0010039D"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The research looked at Welsh residents registered with a GP and analysed incidence</w:t>
      </w:r>
      <w:r>
        <w:rPr>
          <w:rFonts w:ascii="Arial" w:hAnsi="Arial" w:cs="Arial"/>
          <w:sz w:val="24"/>
          <w:szCs w:val="24"/>
        </w:rPr>
        <w:t xml:space="preserve"> and</w:t>
      </w:r>
      <w:r w:rsidRPr="0010039D">
        <w:rPr>
          <w:rFonts w:ascii="Arial" w:hAnsi="Arial" w:cs="Arial"/>
          <w:sz w:val="24"/>
          <w:szCs w:val="24"/>
        </w:rPr>
        <w:t xml:space="preserve"> prevalence for all cancers (excluding non-melanoma skin cancer), and common cancers (lung, colorectal, prostate and female breast cancer). </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t>One-year survival was also calculated for all Welsh residents diagnosed between 2011 and 2014 for the above cancer types.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Pr>
          <w:rFonts w:ascii="Arial" w:hAnsi="Arial" w:cs="Arial"/>
          <w:sz w:val="24"/>
          <w:szCs w:val="24"/>
        </w:rPr>
        <w:lastRenderedPageBreak/>
        <w:t>Where possible, t</w:t>
      </w:r>
      <w:r w:rsidRPr="0010039D">
        <w:rPr>
          <w:rFonts w:ascii="Arial" w:hAnsi="Arial" w:cs="Arial"/>
          <w:sz w:val="24"/>
          <w:szCs w:val="24"/>
        </w:rPr>
        <w:t xml:space="preserve">he analysis was broken down by GP cluster network, age, gender, how advanced the cancer was at diagnosis, deprivation and rurality. </w:t>
      </w:r>
    </w:p>
    <w:p w:rsidR="00C44A9B" w:rsidRDefault="00C44A9B" w:rsidP="00C44A9B">
      <w:pPr>
        <w:spacing w:after="0" w:line="240" w:lineRule="auto"/>
        <w:rPr>
          <w:rFonts w:ascii="Arial" w:hAnsi="Arial" w:cs="Arial"/>
          <w:sz w:val="24"/>
          <w:szCs w:val="24"/>
        </w:rPr>
      </w:pPr>
    </w:p>
    <w:p w:rsidR="00C44A9B" w:rsidRPr="0010039D" w:rsidRDefault="00C44A9B" w:rsidP="00C44A9B">
      <w:pPr>
        <w:spacing w:after="0" w:line="240" w:lineRule="auto"/>
        <w:rPr>
          <w:rFonts w:ascii="Arial" w:hAnsi="Arial" w:cs="Arial"/>
          <w:sz w:val="24"/>
          <w:szCs w:val="24"/>
        </w:rPr>
      </w:pPr>
      <w:r w:rsidRPr="0010039D">
        <w:rPr>
          <w:rFonts w:ascii="Arial" w:hAnsi="Arial" w:cs="Arial"/>
          <w:sz w:val="24"/>
          <w:szCs w:val="24"/>
        </w:rPr>
        <w:t xml:space="preserve">It considered </w:t>
      </w:r>
      <w:r>
        <w:rPr>
          <w:rFonts w:ascii="Arial" w:hAnsi="Arial" w:cs="Arial"/>
          <w:sz w:val="24"/>
          <w:szCs w:val="24"/>
        </w:rPr>
        <w:t xml:space="preserve">conditions </w:t>
      </w:r>
      <w:r w:rsidRPr="0010039D">
        <w:rPr>
          <w:rFonts w:ascii="Arial" w:hAnsi="Arial" w:cs="Arial"/>
          <w:sz w:val="24"/>
          <w:szCs w:val="24"/>
        </w:rPr>
        <w:t>recorded in the twelve months prior to cancer diagnosis.</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The data was analysed using the Charlson Comorbidity Index</w:t>
      </w:r>
      <w:r>
        <w:rPr>
          <w:rStyle w:val="EndnoteReference"/>
          <w:rFonts w:ascii="Arial" w:hAnsi="Arial" w:cs="Arial"/>
          <w:sz w:val="24"/>
          <w:szCs w:val="24"/>
        </w:rPr>
        <w:endnoteReference w:id="1"/>
      </w:r>
      <w:r w:rsidRPr="0010039D">
        <w:rPr>
          <w:rFonts w:ascii="Arial" w:hAnsi="Arial" w:cs="Arial"/>
          <w:sz w:val="24"/>
          <w:szCs w:val="24"/>
        </w:rPr>
        <w:t>, which is a validated tool used by healthcare professionals to predict risk of death and the burden of a disease.</w:t>
      </w:r>
      <w:r>
        <w:rPr>
          <w:rStyle w:val="EndnoteReference"/>
          <w:rFonts w:ascii="Arial" w:hAnsi="Arial" w:cs="Arial"/>
          <w:sz w:val="24"/>
          <w:szCs w:val="24"/>
        </w:rPr>
        <w:endnoteReference w:id="2"/>
      </w:r>
      <w:r w:rsidRPr="0010039D">
        <w:rPr>
          <w:rFonts w:ascii="Arial" w:hAnsi="Arial" w:cs="Arial"/>
          <w:sz w:val="24"/>
          <w:szCs w:val="24"/>
        </w:rPr>
        <w:t xml:space="preserve">  </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rPr>
          <w:rFonts w:ascii="Arial" w:hAnsi="Arial" w:cs="Arial"/>
          <w:sz w:val="24"/>
          <w:szCs w:val="24"/>
        </w:rPr>
      </w:pPr>
      <w:r w:rsidRPr="0010039D">
        <w:rPr>
          <w:rFonts w:ascii="Arial" w:hAnsi="Arial" w:cs="Arial"/>
          <w:sz w:val="24"/>
          <w:szCs w:val="24"/>
        </w:rPr>
        <w:t>Starting at zero, a patient’s score can increase because of how severe their illness or illnesses are or because of the number of conditions they have.</w:t>
      </w:r>
    </w:p>
    <w:p w:rsidR="00C44A9B" w:rsidRPr="0010039D" w:rsidRDefault="00C44A9B" w:rsidP="00C44A9B">
      <w:pPr>
        <w:spacing w:after="0" w:line="240" w:lineRule="auto"/>
        <w:rPr>
          <w:rFonts w:ascii="Arial" w:hAnsi="Arial" w:cs="Arial"/>
          <w:sz w:val="24"/>
          <w:szCs w:val="24"/>
        </w:rPr>
      </w:pPr>
    </w:p>
    <w:p w:rsidR="00C44A9B" w:rsidRPr="0010039D" w:rsidRDefault="00C44A9B" w:rsidP="00C44A9B">
      <w:pPr>
        <w:spacing w:after="0" w:line="240" w:lineRule="auto"/>
        <w:rPr>
          <w:rFonts w:ascii="Arial" w:hAnsi="Arial" w:cs="Arial"/>
          <w:sz w:val="24"/>
          <w:szCs w:val="24"/>
        </w:rPr>
      </w:pPr>
      <w:r w:rsidRPr="0010039D">
        <w:rPr>
          <w:rFonts w:ascii="Arial" w:hAnsi="Arial" w:cs="Arial"/>
          <w:sz w:val="24"/>
          <w:szCs w:val="24"/>
        </w:rPr>
        <w:t xml:space="preserve">This work uses </w:t>
      </w:r>
      <w:r>
        <w:rPr>
          <w:rFonts w:ascii="Arial" w:hAnsi="Arial" w:cs="Arial"/>
          <w:sz w:val="24"/>
          <w:szCs w:val="24"/>
        </w:rPr>
        <w:t>information</w:t>
      </w:r>
      <w:r w:rsidRPr="0010039D">
        <w:rPr>
          <w:rFonts w:ascii="Arial" w:hAnsi="Arial" w:cs="Arial"/>
          <w:sz w:val="24"/>
          <w:szCs w:val="24"/>
        </w:rPr>
        <w:t xml:space="preserve"> collected by the NHS as part of </w:t>
      </w:r>
      <w:r>
        <w:rPr>
          <w:rFonts w:ascii="Arial" w:hAnsi="Arial" w:cs="Arial"/>
          <w:sz w:val="24"/>
          <w:szCs w:val="24"/>
        </w:rPr>
        <w:t xml:space="preserve">providing patient </w:t>
      </w:r>
      <w:r w:rsidRPr="0010039D">
        <w:rPr>
          <w:rFonts w:ascii="Arial" w:hAnsi="Arial" w:cs="Arial"/>
          <w:sz w:val="24"/>
          <w:szCs w:val="24"/>
        </w:rPr>
        <w:t>care and support.</w:t>
      </w:r>
    </w:p>
    <w:p w:rsidR="00C44A9B" w:rsidRDefault="00C44A9B" w:rsidP="00C44A9B">
      <w:pPr>
        <w:spacing w:after="0" w:line="240" w:lineRule="auto"/>
        <w:rPr>
          <w:rFonts w:ascii="Arial" w:hAnsi="Arial" w:cs="Arial"/>
          <w:sz w:val="24"/>
          <w:szCs w:val="24"/>
        </w:rPr>
      </w:pPr>
    </w:p>
    <w:p w:rsidR="00C44A9B" w:rsidRDefault="00C44A9B" w:rsidP="00C44A9B">
      <w:pPr>
        <w:spacing w:after="0" w:line="240" w:lineRule="auto"/>
        <w:jc w:val="center"/>
        <w:rPr>
          <w:rFonts w:ascii="Arial" w:hAnsi="Arial" w:cs="Arial"/>
          <w:b/>
          <w:sz w:val="24"/>
          <w:szCs w:val="24"/>
        </w:rPr>
      </w:pPr>
      <w:r w:rsidRPr="004D111B">
        <w:rPr>
          <w:rFonts w:ascii="Arial" w:hAnsi="Arial" w:cs="Arial"/>
          <w:b/>
          <w:sz w:val="24"/>
          <w:szCs w:val="24"/>
        </w:rPr>
        <w:t>ENDS</w:t>
      </w:r>
    </w:p>
    <w:p w:rsidR="00C44A9B" w:rsidRPr="00AF1303" w:rsidRDefault="00C44A9B" w:rsidP="00C44A9B">
      <w:pPr>
        <w:spacing w:after="0" w:line="240" w:lineRule="auto"/>
        <w:rPr>
          <w:rFonts w:ascii="Arial" w:hAnsi="Arial" w:cs="Arial"/>
          <w:b/>
          <w:sz w:val="24"/>
          <w:szCs w:val="24"/>
        </w:rPr>
      </w:pPr>
    </w:p>
    <w:p w:rsidR="00C44A9B" w:rsidRDefault="00C44A9B" w:rsidP="00C44A9B">
      <w:pPr>
        <w:spacing w:after="0" w:line="240" w:lineRule="auto"/>
        <w:rPr>
          <w:rFonts w:ascii="Arial" w:hAnsi="Arial" w:cs="Arial"/>
          <w:b/>
          <w:sz w:val="24"/>
          <w:szCs w:val="24"/>
        </w:rPr>
      </w:pPr>
      <w:r>
        <w:rPr>
          <w:rFonts w:ascii="Arial" w:hAnsi="Arial" w:cs="Arial"/>
          <w:b/>
          <w:sz w:val="24"/>
          <w:szCs w:val="24"/>
        </w:rPr>
        <w:t xml:space="preserve">For further information, </w:t>
      </w:r>
      <w:r w:rsidRPr="006320E5">
        <w:rPr>
          <w:rFonts w:ascii="Arial" w:hAnsi="Arial" w:cs="Arial"/>
          <w:b/>
          <w:sz w:val="24"/>
          <w:szCs w:val="24"/>
        </w:rPr>
        <w:t>or to request interviews with Macmillan spokespeople</w:t>
      </w:r>
      <w:r>
        <w:rPr>
          <w:rFonts w:ascii="Arial" w:hAnsi="Arial" w:cs="Arial"/>
          <w:b/>
          <w:sz w:val="24"/>
          <w:szCs w:val="24"/>
        </w:rPr>
        <w:t xml:space="preserve"> in English or Welsh</w:t>
      </w:r>
      <w:r w:rsidRPr="006320E5">
        <w:rPr>
          <w:rFonts w:ascii="Arial" w:hAnsi="Arial" w:cs="Arial"/>
          <w:b/>
          <w:sz w:val="24"/>
          <w:szCs w:val="24"/>
        </w:rPr>
        <w:t xml:space="preserve">, please contact </w:t>
      </w:r>
      <w:r>
        <w:rPr>
          <w:rFonts w:ascii="Arial" w:hAnsi="Arial" w:cs="Arial"/>
          <w:b/>
          <w:sz w:val="24"/>
          <w:szCs w:val="24"/>
        </w:rPr>
        <w:t xml:space="preserve">Senior External </w:t>
      </w:r>
      <w:r w:rsidRPr="006320E5">
        <w:rPr>
          <w:rFonts w:ascii="Arial" w:hAnsi="Arial" w:cs="Arial"/>
          <w:b/>
          <w:sz w:val="24"/>
          <w:szCs w:val="24"/>
        </w:rPr>
        <w:t>Communication</w:t>
      </w:r>
      <w:r>
        <w:rPr>
          <w:rFonts w:ascii="Arial" w:hAnsi="Arial" w:cs="Arial"/>
          <w:b/>
          <w:sz w:val="24"/>
          <w:szCs w:val="24"/>
        </w:rPr>
        <w:t>s Manager Kerry-Lynne Pyke on</w:t>
      </w:r>
      <w:r w:rsidRPr="006320E5">
        <w:rPr>
          <w:rFonts w:ascii="Arial" w:hAnsi="Arial" w:cs="Arial"/>
          <w:b/>
          <w:sz w:val="24"/>
          <w:szCs w:val="24"/>
        </w:rPr>
        <w:t xml:space="preserve"> 01656 867960/07525 810593 or email </w:t>
      </w:r>
      <w:hyperlink r:id="rId9" w:history="1">
        <w:r w:rsidRPr="006320E5">
          <w:rPr>
            <w:rStyle w:val="Hyperlink"/>
            <w:rFonts w:ascii="Arial" w:hAnsi="Arial" w:cs="Arial"/>
            <w:b/>
            <w:sz w:val="24"/>
            <w:szCs w:val="24"/>
          </w:rPr>
          <w:t>kpyke@macmillan.org.uk</w:t>
        </w:r>
      </w:hyperlink>
      <w:r w:rsidRPr="006320E5">
        <w:rPr>
          <w:rFonts w:ascii="Arial" w:hAnsi="Arial" w:cs="Arial"/>
          <w:b/>
          <w:sz w:val="24"/>
          <w:szCs w:val="24"/>
        </w:rPr>
        <w:t xml:space="preserve">. </w:t>
      </w:r>
    </w:p>
    <w:p w:rsidR="00C44A9B" w:rsidRDefault="00C44A9B" w:rsidP="00C44A9B">
      <w:pPr>
        <w:spacing w:after="0" w:line="240" w:lineRule="auto"/>
        <w:rPr>
          <w:rFonts w:ascii="Arial" w:hAnsi="Arial" w:cs="Arial"/>
          <w:b/>
          <w:sz w:val="24"/>
          <w:szCs w:val="24"/>
        </w:rPr>
      </w:pPr>
    </w:p>
    <w:p w:rsidR="0058768F" w:rsidRPr="00C44A9B" w:rsidRDefault="00C44A9B" w:rsidP="00C44A9B">
      <w:pPr>
        <w:spacing w:after="0" w:line="240" w:lineRule="auto"/>
        <w:rPr>
          <w:rFonts w:ascii="Arial" w:hAnsi="Arial" w:cs="Arial"/>
          <w:b/>
          <w:sz w:val="24"/>
          <w:szCs w:val="24"/>
        </w:rPr>
      </w:pPr>
      <w:r w:rsidRPr="002C5831">
        <w:rPr>
          <w:rFonts w:ascii="Arial" w:hAnsi="Arial" w:cs="Arial"/>
          <w:b/>
          <w:sz w:val="24"/>
          <w:szCs w:val="24"/>
        </w:rPr>
        <w:t xml:space="preserve">For </w:t>
      </w:r>
      <w:r>
        <w:rPr>
          <w:rFonts w:ascii="Arial" w:hAnsi="Arial" w:cs="Arial"/>
          <w:b/>
          <w:sz w:val="24"/>
          <w:szCs w:val="24"/>
        </w:rPr>
        <w:t xml:space="preserve">Welsh Cancer Intelligence and Surveillance Unit </w:t>
      </w:r>
      <w:r w:rsidRPr="002C5831">
        <w:rPr>
          <w:rFonts w:ascii="Arial" w:hAnsi="Arial" w:cs="Arial"/>
          <w:b/>
          <w:sz w:val="24"/>
          <w:szCs w:val="24"/>
        </w:rPr>
        <w:t>media enquiries please contact the Public Health Wales Communications team on 02920 348755 (24 hours)</w:t>
      </w:r>
      <w:r>
        <w:rPr>
          <w:rFonts w:ascii="Arial" w:hAnsi="Arial" w:cs="Arial"/>
          <w:b/>
          <w:sz w:val="24"/>
          <w:szCs w:val="24"/>
        </w:rPr>
        <w:t>.</w:t>
      </w:r>
    </w:p>
    <w:sectPr w:rsidR="0058768F" w:rsidRPr="00C44A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A10" w:rsidRDefault="00D20A10" w:rsidP="00C44A9B">
      <w:pPr>
        <w:spacing w:after="0" w:line="240" w:lineRule="auto"/>
      </w:pPr>
      <w:r>
        <w:separator/>
      </w:r>
    </w:p>
  </w:endnote>
  <w:endnote w:type="continuationSeparator" w:id="0">
    <w:p w:rsidR="00D20A10" w:rsidRDefault="00D20A10" w:rsidP="00C44A9B">
      <w:pPr>
        <w:spacing w:after="0" w:line="240" w:lineRule="auto"/>
      </w:pPr>
      <w:r>
        <w:continuationSeparator/>
      </w:r>
    </w:p>
  </w:endnote>
  <w:endnote w:id="1">
    <w:p w:rsidR="00C44A9B" w:rsidRDefault="00C44A9B" w:rsidP="00C44A9B">
      <w:pPr>
        <w:pStyle w:val="EndnoteText"/>
      </w:pPr>
      <w:r>
        <w:rPr>
          <w:rStyle w:val="EndnoteReference"/>
        </w:rPr>
        <w:endnoteRef/>
      </w:r>
      <w:r>
        <w:t xml:space="preserve"> </w:t>
      </w:r>
      <w:hyperlink r:id="rId1" w:history="1">
        <w:r w:rsidRPr="009C3547">
          <w:rPr>
            <w:rStyle w:val="Hyperlink"/>
            <w:rFonts w:ascii="Arial" w:hAnsi="Arial" w:cs="Arial"/>
          </w:rPr>
          <w:t>https://www.ncbi.nlm.nih.gov/pubmed/3558716</w:t>
        </w:r>
      </w:hyperlink>
      <w:r>
        <w:rPr>
          <w:rFonts w:ascii="Arial" w:hAnsi="Arial" w:cs="Arial"/>
        </w:rPr>
        <w:t xml:space="preserve"> </w:t>
      </w:r>
    </w:p>
  </w:endnote>
  <w:endnote w:id="2">
    <w:p w:rsidR="00C44A9B" w:rsidRDefault="00C44A9B" w:rsidP="00C44A9B">
      <w:pPr>
        <w:pStyle w:val="EndnoteText"/>
        <w:rPr>
          <w:rFonts w:ascii="Arial" w:hAnsi="Arial" w:cs="Arial"/>
        </w:rPr>
      </w:pPr>
      <w:r w:rsidRPr="00BD48D5">
        <w:rPr>
          <w:rStyle w:val="EndnoteReference"/>
          <w:rFonts w:ascii="Arial" w:hAnsi="Arial" w:cs="Arial"/>
        </w:rPr>
        <w:endnoteRef/>
      </w:r>
      <w:r>
        <w:rPr>
          <w:rFonts w:ascii="Arial" w:hAnsi="Arial" w:cs="Arial"/>
        </w:rPr>
        <w:t xml:space="preserve"> T</w:t>
      </w:r>
      <w:r w:rsidRPr="00BD48D5">
        <w:rPr>
          <w:rFonts w:ascii="Arial" w:hAnsi="Arial" w:cs="Arial"/>
        </w:rPr>
        <w:t>he list of disorders and diseases analysed</w:t>
      </w:r>
      <w:r>
        <w:rPr>
          <w:rFonts w:ascii="Arial" w:hAnsi="Arial" w:cs="Arial"/>
        </w:rPr>
        <w:t xml:space="preserve"> in this research</w:t>
      </w:r>
      <w:r w:rsidRPr="00BD48D5">
        <w:rPr>
          <w:rFonts w:ascii="Arial" w:hAnsi="Arial" w:cs="Arial"/>
        </w:rPr>
        <w:t xml:space="preserve"> is as follows:</w:t>
      </w:r>
    </w:p>
    <w:p w:rsidR="00C44A9B" w:rsidRPr="00BD48D5" w:rsidRDefault="00C44A9B" w:rsidP="00C44A9B">
      <w:pPr>
        <w:pStyle w:val="EndnoteText"/>
        <w:rPr>
          <w:rFonts w:ascii="Arial" w:hAnsi="Arial" w:cs="Arial"/>
        </w:rPr>
      </w:pPr>
      <w:r>
        <w:rPr>
          <w:rFonts w:ascii="Arial" w:hAnsi="Arial" w:cs="Arial"/>
        </w:rPr>
        <w:t xml:space="preserve"> </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Myocardial infarct</w:t>
      </w:r>
      <w:r w:rsidR="006D4EFC">
        <w:rPr>
          <w:rFonts w:ascii="Arial" w:hAnsi="Arial" w:cs="Arial"/>
          <w:sz w:val="20"/>
          <w:szCs w:val="20"/>
        </w:rPr>
        <w:t>ion</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Congestive heart failure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Peripheral vascular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Cerebrovascular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Dementia</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Chronic pulmonary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Connective tissue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Peptic ulcer</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Mild liver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Diabetes</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Hemiplegia/paraplegia</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Moderate or severe renal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Diabetes with complications (e.g. end organ damage)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Cancer (including solid tumours, leukaemia and lymphoma)</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Moderate or severe liver disease</w:t>
      </w:r>
    </w:p>
    <w:p w:rsidR="00C44A9B" w:rsidRPr="00BD48D5" w:rsidRDefault="00C44A9B" w:rsidP="00C44A9B">
      <w:pPr>
        <w:numPr>
          <w:ilvl w:val="0"/>
          <w:numId w:val="1"/>
        </w:numPr>
        <w:spacing w:after="0" w:line="240" w:lineRule="auto"/>
        <w:rPr>
          <w:rFonts w:ascii="Arial" w:hAnsi="Arial" w:cs="Arial"/>
          <w:sz w:val="20"/>
          <w:szCs w:val="20"/>
        </w:rPr>
      </w:pPr>
      <w:r w:rsidRPr="00BD48D5">
        <w:rPr>
          <w:rFonts w:ascii="Arial" w:hAnsi="Arial" w:cs="Arial"/>
          <w:sz w:val="20"/>
          <w:szCs w:val="20"/>
        </w:rPr>
        <w:t>Metastatic cancer</w:t>
      </w:r>
    </w:p>
    <w:p w:rsidR="00B84AFF" w:rsidRDefault="00C44A9B" w:rsidP="00B84AFF">
      <w:pPr>
        <w:numPr>
          <w:ilvl w:val="0"/>
          <w:numId w:val="1"/>
        </w:numPr>
        <w:spacing w:after="0" w:line="240" w:lineRule="auto"/>
        <w:rPr>
          <w:rFonts w:ascii="Arial" w:hAnsi="Arial" w:cs="Arial"/>
          <w:sz w:val="20"/>
          <w:szCs w:val="20"/>
        </w:rPr>
      </w:pPr>
      <w:r w:rsidRPr="00BD48D5">
        <w:rPr>
          <w:rFonts w:ascii="Arial" w:hAnsi="Arial" w:cs="Arial"/>
          <w:sz w:val="20"/>
          <w:szCs w:val="20"/>
        </w:rPr>
        <w:t>HIV/AIDS</w:t>
      </w:r>
    </w:p>
    <w:p w:rsidR="00B84AFF" w:rsidRDefault="00B84AFF" w:rsidP="00B84AFF">
      <w:pPr>
        <w:spacing w:after="0" w:line="240" w:lineRule="auto"/>
        <w:rPr>
          <w:rFonts w:ascii="Arial" w:hAnsi="Arial" w:cs="Arial"/>
          <w:sz w:val="20"/>
          <w:szCs w:val="20"/>
        </w:rPr>
      </w:pPr>
    </w:p>
    <w:p w:rsidR="00B84AFF" w:rsidRDefault="00B84AFF" w:rsidP="00B84AFF">
      <w:pPr>
        <w:spacing w:after="0" w:line="240" w:lineRule="auto"/>
        <w:rPr>
          <w:rFonts w:ascii="Arial" w:hAnsi="Arial" w:cs="Arial"/>
          <w:i/>
          <w:sz w:val="24"/>
          <w:szCs w:val="24"/>
        </w:rPr>
      </w:pPr>
      <w:r>
        <w:rPr>
          <w:rFonts w:ascii="Arial" w:hAnsi="Arial" w:cs="Arial"/>
          <w:i/>
          <w:sz w:val="24"/>
          <w:szCs w:val="24"/>
        </w:rPr>
        <w:t>Dan embargo tan 00.01 o’r gloch ddydd Mercher 27 Mawrth 2019</w:t>
      </w:r>
    </w:p>
    <w:p w:rsidR="00B84AFF" w:rsidRDefault="00B84AFF" w:rsidP="00B84AFF">
      <w:pPr>
        <w:spacing w:after="0" w:line="240" w:lineRule="auto"/>
        <w:jc w:val="center"/>
        <w:rPr>
          <w:rFonts w:ascii="Arial" w:hAnsi="Arial" w:cs="Arial"/>
          <w:b/>
          <w:sz w:val="28"/>
          <w:szCs w:val="28"/>
        </w:rPr>
      </w:pPr>
    </w:p>
    <w:p w:rsidR="00B84AFF" w:rsidRDefault="00B84AFF" w:rsidP="00B84AFF">
      <w:pPr>
        <w:spacing w:after="0" w:line="240" w:lineRule="auto"/>
        <w:jc w:val="center"/>
        <w:rPr>
          <w:rFonts w:ascii="Arial" w:hAnsi="Arial" w:cs="Arial"/>
          <w:b/>
          <w:sz w:val="24"/>
          <w:szCs w:val="24"/>
        </w:rPr>
      </w:pPr>
      <w:r>
        <w:rPr>
          <w:rFonts w:ascii="Arial" w:hAnsi="Arial" w:cs="Arial"/>
          <w:b/>
          <w:sz w:val="28"/>
          <w:szCs w:val="28"/>
        </w:rPr>
        <w:t>Ymchwil ddiweddar yn dangos bod pobl gyda chanser mewn ardaloedd difreintiedig yng Nghymru’n fwy tebygol o fod â salwch difriol pan fyddant yn cael diagnosis.</w:t>
      </w: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Yn ôl ymchwil newydd gan Gymorth Canser Macmillan ac Uned Gwybodaeth ac Arolygaeth Canser Cymru Iechyd Cyhoeddus Cymru, mae pobl gyda chanser sydd yn byw mewn ardaloedd difreintiedig yng Nghymru yn fwy tebygol o fod â salwch neu anhwylder difrifol pan fyddant yn cael diagnosis o’i gymharu â phobl mewn ardaloedd llai difreintiedig.</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 xml:space="preserve">Gall hyn ei gwneud yn anoddach i wasanaethau GIG i roi diagnosis canser yn gynnar yn y cleifion hyn, yn ogystal â chyflwyno heriau ar gyfer gwasanaethau sy’n cynllunio a chynnig triniaeth canser. </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Mae’r ymchwil, y cyntaf o’i fath yng Nghymru, ac mae’n gred mai dyma’r cyntaf o’i fath yn y Deyrnas Unedig hefyd, yn mynegi bod o leiaf un o bob pedwar o bobl sydd wedi cael diagnosis o ganser yng Nghymru rhwng 2011 a 2015 eisoes yn byw gydag anhwylder neu salwch difrifol arall megis clefyd siwgr, dementia, a chlefyd y galon.</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Ac mae pobl gyda chanser yn llais tebygol o oroesi am flwyddyn ar ôl eu diagnosis os ydy difrifoldeb eu salwch neu nifer yr anhwylderau sydd ganddynt eisoes yn gwaethygu.</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Mae’r ymchwil hwn yn amlygu’r heriau sy’n wynebu’r GIG wrth roi diagnosis canser yn gynnar oherwydd bod cyflyrau eraill a salwch yn gallu cuddio symptomau canser.</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 hefyd yn amlygu sawl person â chanser sydd â chyflyrau neu salwch eraill i ddelio â nhw pan fyddant yn cael diagnosis, sydd yn ychwanegu at yr heriau i’r GIG wrth gynllunio a rhoi triniaeth canser.</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 xml:space="preserve">Mae’r ymchwil newydd yn dangos bod dynion yn fwy tebygol o fod yn dioddef o gyflwr arall pan fyddant yn cael diagnosis na merched. </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 hefyd yn amlygu’r amrywiaeth yn nifer y bobl sydd â salwch yn bodoli eisoes yn ôl y math o ganser sydd ganddynt.</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 tua chwarter o bobl sydd yn dioddef o ganser y coluddyn yn dioddef o salwch neu gyflwr sylweddol wrth iddynt dderbyn diagnosis, lle nad oedd 90 y cant o ferched â chanser y fron ac ychydig dros 80 y cant o ddynion â chanser prostad yn dioddef o unrhyw salwch oedd yn cael eu hystyried fel rhan o’r ymchwil wrth dderbyn diagnosis.</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Mewn cyferbyniad, mae pobl â chanser yr ysgyfaint yn fwy tebygol o ddioddef o salwch eisoes pan fyddant yn cael diagnosis o’u cymharu â phobl yn dioddef o fathau eraill o ganser.</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O’r holl fathau o salwch ac anhwylderau sydd wedi eu dadansoddi, roedd y dynion oedd yn byw gydag ac yn goroesi canser yn fwy tebygol o fod yn dioddef o glefyd siwgr, lle bo merched oedd yn byw gydag ac yn goroesi canser yn fwy tebygol o fod â salwch resbiradol.</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Y bobl oedd yn dioddef o ganser a dementia oedd â’r gyfradd goroesi am flwyddyn isaf. Er hynny, gall hyn fod oherwydd bod pobl sydd yn dioddef o dementia’n tueddu i fod yn hŷn.</w:t>
      </w:r>
    </w:p>
    <w:p w:rsidR="00B84AFF" w:rsidRDefault="00B84AFF" w:rsidP="00B84AFF">
      <w:pPr>
        <w:spacing w:after="0" w:line="240" w:lineRule="auto"/>
        <w:jc w:val="both"/>
        <w:rPr>
          <w:rFonts w:ascii="Arial" w:hAnsi="Arial" w:cs="Arial"/>
          <w:sz w:val="24"/>
          <w:szCs w:val="24"/>
        </w:rPr>
      </w:pPr>
      <w:r>
        <w:rPr>
          <w:rFonts w:ascii="Arial" w:hAnsi="Arial" w:cs="Arial"/>
          <w:sz w:val="24"/>
          <w:szCs w:val="24"/>
        </w:rPr>
        <w:t>Dywedodd Richard Pugh, Pennaeth Gwasanaethau (Cymru) ar gyfer Cymorth Canser Macmillan: “Mae’r ymchwil ddofn yma’n dangos am y tro cyntaf bod pobl sydd yn dioddef o ganser yng Nghymru ac yn byw mewn ardaloedd difreintiedig yn fwy tebygol o fod yn dioddef o salwch difrifol arall pan fyddant yn cael diagnosis, o’u cymharu â phobl sy’n byw mewn ardaloedd llai difreintiedig.”</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“Mae Macmillan eisiau i bobl gyda chanser fyw eu bywydau mor llawn ag sydd yn bosibl, a’n gobaith yw bod yr ymchwil yma’n amlygu i’r gweithwyr iechyd proffesiynol a’r cynllunwyr gofal canser sawl unigolyn sydd yn byw gyda chyflwr neu salwch arall wrth gael diagnosis o ganser.</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“Mae Macmillan eisiau i bob unigolyn gyda chanser gael gofal fel person cyflawn ac i dderbyn triniaeth canser o’r safon uchaf bosibl, sydd yn eu galluogi i reoli eu salwch presennol yn effeithiol.</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“Byddem hefyd yn annog pobl sydd â chyflwr arall eisoes i beidio ag anwybyddu unrhyw symptomau newydd sydd yn datblygu ac i siarad gyda’u Meddyg Teulu er mwyn derbyn cyngor.”</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Dywedodd Dr Ciarán Humphreys o Iechyd Cyhoeddus Cymru: “Mae’r ymchwil yma’n dangos bod canlyniadau’n well i gleifion canser nad ydynt yn dioddef o gyflyrau tymor-hir na’r rhai sydd yn dioddef o salwch difrifol arall.</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 bod yn gorfforol heini, peidio ysmygu, yfed llai o alcohol a bwyta bwyd maethlon yn sicr yn ffyrdd o leihau’r risg o ddatblygu canser a chyflyrau tymor-hir eraill, yn ogystal â gwella’r canlyniadau i’r rheiny sy’n derbyn diagnosis.</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 meddygon a chynllunwyr lleol yn gallu cael mynediad at y data yma bellach drwy system hyblyg ar-lein, er mwyn eu cefnogi i ddeall anghenion eu poblogaeth leol yn well.</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Roedd yr ymchwil yn canolbwyntio ar drigolion Cymraeg a oedd wedi cofrestru gyda meddyg, ac fe wnaeth ddadansoddi nifer yr achosion ar gyfer bob canser (ac eithrio canser y croen di-melanoma), a mathau cyffredin o ganser (ysgyfaint, colon a’r rhefr, prostad, a chanser y fron mewn merched).</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Cyfrifwyd y gyfradd goroesi am flwyddyn hefyd ar gyfer yr holl drigolion yng Nghymru oedd wedi derbyn diagnosis rhwng 2011 a 2014 ar gyfer yr holl fathau uchod o ganser.</w:t>
      </w:r>
    </w:p>
    <w:p w:rsidR="00B84AFF" w:rsidRDefault="00B84AFF" w:rsidP="00B84AFF">
      <w:pPr>
        <w:spacing w:after="0" w:line="240" w:lineRule="auto"/>
        <w:jc w:val="both"/>
        <w:rPr>
          <w:rFonts w:ascii="Arial" w:hAnsi="Arial" w:cs="Arial"/>
          <w:sz w:val="24"/>
          <w:szCs w:val="24"/>
        </w:rPr>
      </w:pPr>
      <w:r>
        <w:rPr>
          <w:rFonts w:ascii="Arial" w:hAnsi="Arial" w:cs="Arial"/>
          <w:sz w:val="24"/>
          <w:szCs w:val="24"/>
        </w:rPr>
        <w:t>Lle bo’n bosibl, mae’r dadansoddiad wedi’i dorri lawr yn ôl rhwydwaith clwstwr meddyg, oed, rhyw, pa mor ddifrifol oedd y canser pan yn derbyn diagnosis, amddifadedd a natur wledig.</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lang w:eastAsia="cy-GB"/>
        </w:rPr>
      </w:pPr>
      <w:r>
        <w:rPr>
          <w:rFonts w:ascii="Arial" w:hAnsi="Arial" w:cs="Arial"/>
          <w:sz w:val="24"/>
          <w:szCs w:val="24"/>
          <w:lang w:eastAsia="cy-GB"/>
        </w:rPr>
        <w:t>Roedd yn ystyried cyflyrau wedi eu nodi yn ystod y deuddeg mis cyn iddynt gael diagnosis o ganser.</w:t>
      </w:r>
    </w:p>
    <w:p w:rsidR="00B84AFF" w:rsidRDefault="00B84AFF" w:rsidP="00B84AFF">
      <w:pPr>
        <w:spacing w:after="0" w:line="240" w:lineRule="auto"/>
        <w:jc w:val="both"/>
        <w:rPr>
          <w:rFonts w:ascii="Arial" w:hAnsi="Arial" w:cs="Arial"/>
          <w:sz w:val="24"/>
          <w:szCs w:val="24"/>
          <w:lang w:eastAsia="cy-GB"/>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Dadansoddwyd y data gan ddefnyddio ‘Charlson Comorbidity Index’</w:t>
      </w:r>
      <w:r>
        <w:rPr>
          <w:rStyle w:val="FootnoteReference"/>
          <w:rFonts w:ascii="Arial" w:hAnsi="Arial" w:cs="Arial"/>
          <w:sz w:val="24"/>
          <w:szCs w:val="24"/>
        </w:rPr>
        <w:endnoteRef/>
      </w:r>
      <w:r>
        <w:rPr>
          <w:rFonts w:ascii="Arial" w:hAnsi="Arial" w:cs="Arial"/>
          <w:sz w:val="24"/>
          <w:szCs w:val="24"/>
        </w:rPr>
        <w:t>, sydd yn system wedi’i dilysu sydd yn cael ei defnyddio gan ofalwyr iechyd proffesiynol i ragfynegi’r risg o farwolaeth a baich afiechyd</w:t>
      </w:r>
      <w:r>
        <w:rPr>
          <w:rStyle w:val="FootnoteReference"/>
          <w:rFonts w:ascii="Arial" w:hAnsi="Arial" w:cs="Arial"/>
          <w:sz w:val="24"/>
          <w:szCs w:val="24"/>
        </w:rPr>
        <w:endnoteRef/>
      </w:r>
      <w:r>
        <w:rPr>
          <w:rFonts w:ascii="Arial" w:hAnsi="Arial" w:cs="Arial"/>
          <w:sz w:val="24"/>
          <w:szCs w:val="24"/>
        </w:rPr>
        <w:t>.</w:t>
      </w:r>
    </w:p>
    <w:p w:rsidR="00B84AFF" w:rsidRDefault="00B84AFF" w:rsidP="00B84AFF">
      <w:pPr>
        <w:spacing w:after="0" w:line="240" w:lineRule="auto"/>
        <w:jc w:val="both"/>
        <w:rPr>
          <w:rFonts w:ascii="Arial" w:hAnsi="Arial" w:cs="Arial"/>
          <w:sz w:val="24"/>
          <w:szCs w:val="24"/>
        </w:rPr>
      </w:pPr>
      <w:r>
        <w:rPr>
          <w:rFonts w:ascii="Arial" w:hAnsi="Arial" w:cs="Arial"/>
          <w:sz w:val="24"/>
          <w:szCs w:val="24"/>
        </w:rPr>
        <w:t>Gan ddechrau ar sero, gall sgôr y claf gynyddu yn dibynnu ar ddifrifoldeb eu salwch neu beth ydy eu salwch, neu’n hytrach oherwydd sawl salwch maen nhw’n dioddef ohonynt.</w:t>
      </w:r>
    </w:p>
    <w:p w:rsidR="00B84AFF" w:rsidRDefault="00B84AFF" w:rsidP="00B84AFF">
      <w:pPr>
        <w:spacing w:after="0" w:line="240" w:lineRule="auto"/>
        <w:jc w:val="both"/>
        <w:rPr>
          <w:rFonts w:ascii="Arial" w:hAnsi="Arial" w:cs="Arial"/>
          <w:sz w:val="24"/>
          <w:szCs w:val="24"/>
        </w:rPr>
      </w:pPr>
    </w:p>
    <w:p w:rsidR="00B84AFF" w:rsidRDefault="00B84AFF" w:rsidP="00B84AFF">
      <w:pPr>
        <w:spacing w:after="0" w:line="240" w:lineRule="auto"/>
        <w:jc w:val="both"/>
        <w:rPr>
          <w:rFonts w:ascii="Arial" w:hAnsi="Arial" w:cs="Arial"/>
          <w:sz w:val="24"/>
          <w:szCs w:val="24"/>
        </w:rPr>
      </w:pPr>
      <w:r>
        <w:rPr>
          <w:rFonts w:ascii="Arial" w:hAnsi="Arial" w:cs="Arial"/>
          <w:sz w:val="24"/>
          <w:szCs w:val="24"/>
        </w:rPr>
        <w:t>Mae’r gwaith yma’n defnyddio gwybodaeth sydd wedi’i chasglu gan y GIG fel rhan o ddarparu gofal a chymorth i gleifion.</w:t>
      </w:r>
    </w:p>
    <w:p w:rsidR="00B84AFF" w:rsidRDefault="00B84AFF" w:rsidP="00B84AFF">
      <w:pPr>
        <w:spacing w:after="0" w:line="240" w:lineRule="auto"/>
        <w:jc w:val="both"/>
        <w:rPr>
          <w:rFonts w:ascii="Arial" w:hAnsi="Arial" w:cs="Arial"/>
          <w:sz w:val="24"/>
          <w:szCs w:val="24"/>
        </w:rPr>
      </w:pPr>
    </w:p>
    <w:p w:rsidR="00B84AFF" w:rsidRPr="00B84AFF" w:rsidRDefault="00B84AFF" w:rsidP="00B84AFF">
      <w:pPr>
        <w:spacing w:after="0" w:line="240" w:lineRule="auto"/>
        <w:jc w:val="center"/>
        <w:rPr>
          <w:rFonts w:ascii="Arial" w:hAnsi="Arial" w:cs="Arial"/>
          <w:b/>
          <w:sz w:val="24"/>
          <w:szCs w:val="24"/>
        </w:rPr>
      </w:pPr>
      <w:r w:rsidRPr="00B84AFF">
        <w:rPr>
          <w:rFonts w:ascii="Arial" w:hAnsi="Arial" w:cs="Arial"/>
          <w:b/>
          <w:sz w:val="24"/>
          <w:szCs w:val="24"/>
        </w:rPr>
        <w:t>Y DIWEDD</w:t>
      </w:r>
    </w:p>
    <w:p w:rsidR="00B84AFF" w:rsidRDefault="00B84AFF" w:rsidP="00B84AFF">
      <w:pPr>
        <w:spacing w:after="0" w:line="240" w:lineRule="auto"/>
        <w:jc w:val="center"/>
        <w:rPr>
          <w:rFonts w:ascii="Arial" w:hAnsi="Arial" w:cs="Arial"/>
          <w:sz w:val="24"/>
          <w:szCs w:val="24"/>
        </w:rPr>
      </w:pPr>
    </w:p>
    <w:p w:rsidR="00B84AFF" w:rsidRDefault="00B84AFF" w:rsidP="00B84AFF">
      <w:pPr>
        <w:spacing w:after="0" w:line="240" w:lineRule="auto"/>
        <w:jc w:val="both"/>
        <w:rPr>
          <w:rFonts w:ascii="Arial" w:hAnsi="Arial" w:cs="Arial"/>
          <w:b/>
          <w:bCs/>
          <w:color w:val="0000FF"/>
          <w:sz w:val="24"/>
          <w:szCs w:val="24"/>
          <w:u w:val="single"/>
          <w:lang w:eastAsia="cy-GB"/>
        </w:rPr>
      </w:pPr>
      <w:r>
        <w:rPr>
          <w:rFonts w:ascii="Arial" w:hAnsi="Arial" w:cs="Arial"/>
          <w:b/>
          <w:bCs/>
          <w:sz w:val="24"/>
          <w:szCs w:val="24"/>
          <w:lang w:eastAsia="cy-GB"/>
        </w:rPr>
        <w:t xml:space="preserve">Am fwy o wybodaeth, neu i wneud cais am gyfweliad gyda llefarwyr Macmillan yn Saesneg neu’n Gymraeg, cysylltwch â’r Uwch Reolwr Cyfathrebu Allanol Kerry-Lynne Pyke ar 01656 867960/7525 810593 neu gyrrwch e-bost i </w:t>
      </w:r>
      <w:hyperlink r:id="rId2" w:history="1">
        <w:r w:rsidRPr="005420A6">
          <w:rPr>
            <w:rStyle w:val="Hyperlink"/>
            <w:rFonts w:ascii="Arial" w:hAnsi="Arial" w:cs="Arial"/>
            <w:b/>
            <w:bCs/>
            <w:sz w:val="24"/>
            <w:szCs w:val="24"/>
            <w:lang w:eastAsia="cy-GB"/>
          </w:rPr>
          <w:t>kpyke@macmillan.org.uk</w:t>
        </w:r>
      </w:hyperlink>
      <w:r>
        <w:rPr>
          <w:rFonts w:ascii="Arial" w:hAnsi="Arial" w:cs="Arial"/>
          <w:b/>
          <w:bCs/>
          <w:color w:val="0000FF"/>
          <w:sz w:val="24"/>
          <w:szCs w:val="24"/>
          <w:u w:val="single"/>
          <w:lang w:eastAsia="cy-GB"/>
        </w:rPr>
        <w:t xml:space="preserve"> </w:t>
      </w:r>
    </w:p>
    <w:p w:rsidR="00B84AFF" w:rsidRDefault="00B84AFF" w:rsidP="00B84AFF">
      <w:pPr>
        <w:spacing w:after="0" w:line="240" w:lineRule="auto"/>
        <w:jc w:val="both"/>
        <w:rPr>
          <w:rFonts w:ascii="Arial" w:hAnsi="Arial" w:cs="Arial"/>
          <w:b/>
          <w:sz w:val="24"/>
          <w:szCs w:val="24"/>
        </w:rPr>
      </w:pPr>
    </w:p>
    <w:p w:rsidR="00B84AFF" w:rsidRDefault="00B84AFF" w:rsidP="006B4F9C">
      <w:pPr>
        <w:spacing w:after="0" w:line="240" w:lineRule="auto"/>
        <w:jc w:val="both"/>
        <w:rPr>
          <w:rFonts w:ascii="Arial" w:hAnsi="Arial" w:cs="Arial"/>
          <w:b/>
          <w:sz w:val="24"/>
          <w:szCs w:val="24"/>
        </w:rPr>
      </w:pPr>
      <w:r>
        <w:rPr>
          <w:rFonts w:ascii="Arial" w:hAnsi="Arial" w:cs="Arial"/>
          <w:b/>
          <w:sz w:val="24"/>
          <w:szCs w:val="24"/>
        </w:rPr>
        <w:t>Ar gyfer ymholiadau cyfryngau i Uned Gybodaeth ac Arolygaeth Canser Cymru cysylltwch â thîm Cyfathrebu Iechyd Cyhoeddus Cymru ar 02920 348755 (24 awr).</w:t>
      </w:r>
    </w:p>
    <w:p w:rsidR="006B4F9C" w:rsidRPr="006B4F9C" w:rsidRDefault="006B4F9C" w:rsidP="006B4F9C">
      <w:pPr>
        <w:spacing w:after="0" w:line="240" w:lineRule="auto"/>
        <w:jc w:val="both"/>
        <w:rPr>
          <w:rFonts w:ascii="Arial" w:hAnsi="Arial" w:cs="Arial"/>
          <w:b/>
          <w:sz w:val="24"/>
          <w:szCs w:val="24"/>
        </w:rPr>
      </w:pPr>
    </w:p>
    <w:p w:rsidR="006B4F9C" w:rsidRPr="00CA1BD4" w:rsidRDefault="006B4F9C" w:rsidP="006B4F9C">
      <w:pPr>
        <w:pStyle w:val="FootnoteText"/>
        <w:spacing w:after="0"/>
        <w:jc w:val="both"/>
        <w:rPr>
          <w:rFonts w:ascii="Times New Roman" w:hAnsi="Times New Roman"/>
          <w:lang w:val="en-GB"/>
        </w:rPr>
      </w:pPr>
      <w:r>
        <w:rPr>
          <w:rStyle w:val="FootnoteReference"/>
        </w:rPr>
        <w:endnoteRef/>
      </w:r>
      <w:hyperlink r:id="rId3" w:history="1">
        <w:r w:rsidRPr="00CA1BD4">
          <w:rPr>
            <w:rStyle w:val="Hyperlink"/>
            <w:rFonts w:ascii="Times New Roman" w:hAnsi="Times New Roman"/>
          </w:rPr>
          <w:t>https://www.ncbi.nlm.nih.gov/pubmed/3558716</w:t>
        </w:r>
      </w:hyperlink>
    </w:p>
    <w:p w:rsidR="006B4F9C" w:rsidRPr="00CA1BD4" w:rsidRDefault="006B4F9C" w:rsidP="006B4F9C">
      <w:pPr>
        <w:pStyle w:val="EndnoteText"/>
        <w:jc w:val="both"/>
        <w:rPr>
          <w:rFonts w:ascii="Times New Roman" w:hAnsi="Times New Roman"/>
        </w:rPr>
      </w:pPr>
      <w:r w:rsidRPr="00CA1BD4">
        <w:rPr>
          <w:rStyle w:val="FootnoteReference"/>
          <w:rFonts w:ascii="Times New Roman" w:hAnsi="Times New Roman"/>
        </w:rPr>
        <w:endnoteRef/>
      </w:r>
      <w:r w:rsidRPr="00CA1BD4">
        <w:rPr>
          <w:rFonts w:ascii="Times New Roman" w:hAnsi="Times New Roman"/>
        </w:rPr>
        <w:t xml:space="preserve"> </w:t>
      </w:r>
      <w:r>
        <w:rPr>
          <w:rFonts w:ascii="Times New Roman" w:hAnsi="Times New Roman"/>
        </w:rPr>
        <w:t>Mae’r rhestr o glefydau ac anhwylderau yn yr ymchwil hwn fel a ganlyn:</w:t>
      </w:r>
    </w:p>
    <w:p w:rsidR="006B4F9C" w:rsidRPr="00CA1BD4" w:rsidRDefault="006B4F9C" w:rsidP="006B4F9C">
      <w:pPr>
        <w:pStyle w:val="EndnoteText"/>
        <w:jc w:val="both"/>
        <w:rPr>
          <w:rFonts w:ascii="Times New Roman" w:hAnsi="Times New Roman"/>
        </w:rPr>
      </w:pPr>
      <w:r w:rsidRPr="00CA1BD4">
        <w:rPr>
          <w:rFonts w:ascii="Times New Roman" w:hAnsi="Times New Roman"/>
        </w:rPr>
        <w:t xml:space="preserve"> </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Cnawdnychiant myocardaidd</w:t>
      </w:r>
    </w:p>
    <w:p w:rsidR="006B4F9C" w:rsidRPr="00CA1BD4" w:rsidRDefault="006B4F9C" w:rsidP="006B4F9C">
      <w:pPr>
        <w:pStyle w:val="FootnoteText"/>
        <w:numPr>
          <w:ilvl w:val="0"/>
          <w:numId w:val="2"/>
        </w:numPr>
        <w:spacing w:after="0"/>
        <w:ind w:left="0"/>
        <w:jc w:val="both"/>
        <w:rPr>
          <w:rFonts w:ascii="Times New Roman" w:hAnsi="Times New Roman"/>
          <w:lang w:val="en-GB"/>
        </w:rPr>
      </w:pPr>
      <w:r>
        <w:rPr>
          <w:rFonts w:ascii="Times New Roman" w:hAnsi="Times New Roman"/>
          <w:lang w:val="en-GB"/>
        </w:rPr>
        <w:t>Diffyg gorlenwad y gal</w:t>
      </w:r>
      <w:r w:rsidRPr="00CA1BD4">
        <w:rPr>
          <w:rFonts w:ascii="Times New Roman" w:hAnsi="Times New Roman"/>
          <w:lang w:val="en-GB"/>
        </w:rPr>
        <w:t>on</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fasgwlaidd ymylol</w:t>
      </w:r>
    </w:p>
    <w:p w:rsidR="006B4F9C" w:rsidRPr="00CA1BD4" w:rsidRDefault="006B4F9C" w:rsidP="006B4F9C">
      <w:pPr>
        <w:pStyle w:val="FootnoteText"/>
        <w:numPr>
          <w:ilvl w:val="0"/>
          <w:numId w:val="2"/>
        </w:numPr>
        <w:spacing w:after="0"/>
        <w:ind w:left="0"/>
        <w:jc w:val="both"/>
        <w:rPr>
          <w:rFonts w:ascii="Times New Roman" w:hAnsi="Times New Roman"/>
          <w:lang w:val="en-GB"/>
        </w:rPr>
      </w:pPr>
      <w:r>
        <w:rPr>
          <w:rFonts w:ascii="Times New Roman" w:hAnsi="Times New Roman"/>
          <w:lang w:val="en-GB"/>
        </w:rPr>
        <w:t>C</w:t>
      </w:r>
      <w:r w:rsidRPr="00CA1BD4">
        <w:rPr>
          <w:rFonts w:ascii="Times New Roman" w:hAnsi="Times New Roman"/>
          <w:lang w:val="en-GB"/>
        </w:rPr>
        <w:t>lefyd cerebro-fasgwlaidd</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Dementia</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cronig yr ysgyfaint</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meinwe gysylltiol</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Briwiau peptig</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mwyn yr iau</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siwgr</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Hemiplegia / paraplegia</w:t>
      </w:r>
    </w:p>
    <w:p w:rsidR="006B4F9C" w:rsidRPr="00CA1BD4" w:rsidRDefault="006B4F9C" w:rsidP="006B4F9C">
      <w:pPr>
        <w:pStyle w:val="FootnoteText"/>
        <w:numPr>
          <w:ilvl w:val="0"/>
          <w:numId w:val="2"/>
        </w:numPr>
        <w:spacing w:after="0"/>
        <w:ind w:left="0"/>
        <w:jc w:val="both"/>
        <w:rPr>
          <w:rFonts w:ascii="Times New Roman" w:hAnsi="Times New Roman"/>
          <w:lang w:val="en-GB"/>
        </w:rPr>
      </w:pPr>
      <w:r>
        <w:rPr>
          <w:rFonts w:ascii="Times New Roman" w:hAnsi="Times New Roman"/>
          <w:lang w:val="en-GB"/>
        </w:rPr>
        <w:t xml:space="preserve">Clefyd arennol </w:t>
      </w:r>
      <w:r w:rsidRPr="00CA1BD4">
        <w:rPr>
          <w:rFonts w:ascii="Times New Roman" w:hAnsi="Times New Roman"/>
          <w:lang w:val="en-GB"/>
        </w:rPr>
        <w:t>difrifol neu gymhedrol</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siwgr gyda chymhlethdodau (e.e niwed i organ)</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Canse</w:t>
      </w:r>
      <w:r>
        <w:rPr>
          <w:rFonts w:ascii="Times New Roman" w:hAnsi="Times New Roman"/>
          <w:lang w:val="en-GB"/>
        </w:rPr>
        <w:t>r (gan gynnwys tiwmor cal</w:t>
      </w:r>
      <w:r w:rsidRPr="00CA1BD4">
        <w:rPr>
          <w:rFonts w:ascii="Times New Roman" w:hAnsi="Times New Roman"/>
          <w:lang w:val="en-GB"/>
        </w:rPr>
        <w:t>ed, lewcemia a lymphoma)</w:t>
      </w:r>
    </w:p>
    <w:p w:rsidR="006B4F9C" w:rsidRPr="00CA1BD4"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Clefyd yr iau difrifol neu gymhedrol</w:t>
      </w:r>
    </w:p>
    <w:p w:rsidR="006B4F9C" w:rsidRDefault="006B4F9C" w:rsidP="006B4F9C">
      <w:pPr>
        <w:pStyle w:val="FootnoteText"/>
        <w:numPr>
          <w:ilvl w:val="0"/>
          <w:numId w:val="2"/>
        </w:numPr>
        <w:spacing w:after="0"/>
        <w:ind w:left="0"/>
        <w:jc w:val="both"/>
        <w:rPr>
          <w:rFonts w:ascii="Times New Roman" w:hAnsi="Times New Roman"/>
          <w:lang w:val="en-GB"/>
        </w:rPr>
      </w:pPr>
      <w:r w:rsidRPr="00CA1BD4">
        <w:rPr>
          <w:rFonts w:ascii="Times New Roman" w:hAnsi="Times New Roman"/>
          <w:lang w:val="en-GB"/>
        </w:rPr>
        <w:t>Canser metastatig</w:t>
      </w:r>
    </w:p>
    <w:p w:rsidR="006B4F9C" w:rsidRPr="006B4F9C" w:rsidRDefault="006B4F9C" w:rsidP="006B4F9C">
      <w:pPr>
        <w:pStyle w:val="FootnoteText"/>
        <w:numPr>
          <w:ilvl w:val="0"/>
          <w:numId w:val="2"/>
        </w:numPr>
        <w:spacing w:after="0"/>
        <w:ind w:left="0"/>
        <w:jc w:val="both"/>
        <w:rPr>
          <w:rFonts w:ascii="Times New Roman" w:hAnsi="Times New Roman"/>
          <w:lang w:val="en-GB"/>
        </w:rPr>
      </w:pPr>
      <w:r w:rsidRPr="006B4F9C">
        <w:rPr>
          <w:rFonts w:ascii="Times New Roman" w:hAnsi="Times New Roman"/>
          <w:lang w:val="en-GB"/>
        </w:rPr>
        <w:t>HIV/AIDS</w:t>
      </w:r>
    </w:p>
    <w:p w:rsidR="00B84AFF" w:rsidRPr="00B84AFF" w:rsidRDefault="00B84AFF" w:rsidP="00B84AFF">
      <w:pPr>
        <w:spacing w:after="0" w:line="240" w:lineRule="auto"/>
        <w:rPr>
          <w:rFonts w:ascii="Arial" w:hAnsi="Arial" w:cs="Arial"/>
          <w:sz w:val="24"/>
          <w:szCs w:val="24"/>
        </w:rPr>
      </w:pPr>
    </w:p>
    <w:p w:rsidR="00C44A9B" w:rsidRDefault="00C44A9B" w:rsidP="00C44A9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A10" w:rsidRDefault="00D20A10" w:rsidP="00C44A9B">
      <w:pPr>
        <w:spacing w:after="0" w:line="240" w:lineRule="auto"/>
      </w:pPr>
      <w:r>
        <w:separator/>
      </w:r>
    </w:p>
  </w:footnote>
  <w:footnote w:type="continuationSeparator" w:id="0">
    <w:p w:rsidR="00D20A10" w:rsidRDefault="00D20A10" w:rsidP="00C44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53820"/>
    <w:multiLevelType w:val="hybridMultilevel"/>
    <w:tmpl w:val="C3422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F109BD"/>
    <w:multiLevelType w:val="hybridMultilevel"/>
    <w:tmpl w:val="A5A6645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A9B"/>
    <w:rsid w:val="00133FB5"/>
    <w:rsid w:val="00453D71"/>
    <w:rsid w:val="00471D46"/>
    <w:rsid w:val="0058768F"/>
    <w:rsid w:val="006B4F9C"/>
    <w:rsid w:val="006D4EFC"/>
    <w:rsid w:val="00B84AFF"/>
    <w:rsid w:val="00C02330"/>
    <w:rsid w:val="00C44A9B"/>
    <w:rsid w:val="00D20A10"/>
    <w:rsid w:val="00E83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4E652-52F1-45EB-BB54-AE67BDDD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A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9B"/>
  </w:style>
  <w:style w:type="character" w:styleId="CommentReference">
    <w:name w:val="annotation reference"/>
    <w:basedOn w:val="DefaultParagraphFont"/>
    <w:uiPriority w:val="99"/>
    <w:semiHidden/>
    <w:unhideWhenUsed/>
    <w:rsid w:val="00C44A9B"/>
    <w:rPr>
      <w:sz w:val="16"/>
      <w:szCs w:val="16"/>
    </w:rPr>
  </w:style>
  <w:style w:type="paragraph" w:styleId="CommentText">
    <w:name w:val="annotation text"/>
    <w:basedOn w:val="Normal"/>
    <w:link w:val="CommentTextChar"/>
    <w:uiPriority w:val="99"/>
    <w:semiHidden/>
    <w:unhideWhenUsed/>
    <w:rsid w:val="00C44A9B"/>
    <w:pPr>
      <w:spacing w:line="240" w:lineRule="auto"/>
    </w:pPr>
    <w:rPr>
      <w:sz w:val="20"/>
      <w:szCs w:val="20"/>
    </w:rPr>
  </w:style>
  <w:style w:type="character" w:customStyle="1" w:styleId="CommentTextChar">
    <w:name w:val="Comment Text Char"/>
    <w:basedOn w:val="DefaultParagraphFont"/>
    <w:link w:val="CommentText"/>
    <w:uiPriority w:val="99"/>
    <w:semiHidden/>
    <w:rsid w:val="00C44A9B"/>
    <w:rPr>
      <w:sz w:val="20"/>
      <w:szCs w:val="20"/>
    </w:rPr>
  </w:style>
  <w:style w:type="paragraph" w:styleId="EndnoteText">
    <w:name w:val="endnote text"/>
    <w:basedOn w:val="Normal"/>
    <w:link w:val="EndnoteTextChar"/>
    <w:uiPriority w:val="99"/>
    <w:semiHidden/>
    <w:unhideWhenUsed/>
    <w:rsid w:val="00C44A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4A9B"/>
    <w:rPr>
      <w:sz w:val="20"/>
      <w:szCs w:val="20"/>
    </w:rPr>
  </w:style>
  <w:style w:type="character" w:styleId="EndnoteReference">
    <w:name w:val="endnote reference"/>
    <w:basedOn w:val="DefaultParagraphFont"/>
    <w:uiPriority w:val="99"/>
    <w:semiHidden/>
    <w:unhideWhenUsed/>
    <w:rsid w:val="00C44A9B"/>
    <w:rPr>
      <w:vertAlign w:val="superscript"/>
    </w:rPr>
  </w:style>
  <w:style w:type="character" w:styleId="Hyperlink">
    <w:name w:val="Hyperlink"/>
    <w:basedOn w:val="DefaultParagraphFont"/>
    <w:uiPriority w:val="99"/>
    <w:unhideWhenUsed/>
    <w:rsid w:val="00C44A9B"/>
    <w:rPr>
      <w:color w:val="0563C1" w:themeColor="hyperlink"/>
      <w:u w:val="single"/>
    </w:rPr>
  </w:style>
  <w:style w:type="paragraph" w:styleId="BalloonText">
    <w:name w:val="Balloon Text"/>
    <w:basedOn w:val="Normal"/>
    <w:link w:val="BalloonTextChar"/>
    <w:uiPriority w:val="99"/>
    <w:semiHidden/>
    <w:unhideWhenUsed/>
    <w:rsid w:val="00C44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A9B"/>
    <w:rPr>
      <w:rFonts w:ascii="Segoe UI" w:hAnsi="Segoe UI" w:cs="Segoe UI"/>
      <w:sz w:val="18"/>
      <w:szCs w:val="18"/>
    </w:rPr>
  </w:style>
  <w:style w:type="paragraph" w:styleId="Footer">
    <w:name w:val="footer"/>
    <w:basedOn w:val="Normal"/>
    <w:link w:val="FooterChar"/>
    <w:uiPriority w:val="99"/>
    <w:unhideWhenUsed/>
    <w:rsid w:val="00471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D46"/>
  </w:style>
  <w:style w:type="character" w:customStyle="1" w:styleId="UnresolvedMention">
    <w:name w:val="Unresolved Mention"/>
    <w:basedOn w:val="DefaultParagraphFont"/>
    <w:uiPriority w:val="99"/>
    <w:semiHidden/>
    <w:unhideWhenUsed/>
    <w:rsid w:val="00E83C0D"/>
    <w:rPr>
      <w:color w:val="808080"/>
      <w:shd w:val="clear" w:color="auto" w:fill="E6E6E6"/>
    </w:rPr>
  </w:style>
  <w:style w:type="character" w:styleId="FootnoteReference">
    <w:name w:val="footnote reference"/>
    <w:uiPriority w:val="99"/>
    <w:semiHidden/>
    <w:unhideWhenUsed/>
    <w:rsid w:val="00B84AFF"/>
    <w:rPr>
      <w:vertAlign w:val="superscript"/>
    </w:rPr>
  </w:style>
  <w:style w:type="paragraph" w:styleId="FootnoteText">
    <w:name w:val="footnote text"/>
    <w:basedOn w:val="Normal"/>
    <w:link w:val="FootnoteTextChar"/>
    <w:uiPriority w:val="99"/>
    <w:unhideWhenUsed/>
    <w:rsid w:val="006B4F9C"/>
    <w:pPr>
      <w:spacing w:after="200" w:line="276" w:lineRule="auto"/>
    </w:pPr>
    <w:rPr>
      <w:rFonts w:ascii="Calibri" w:eastAsia="Calibri" w:hAnsi="Calibri" w:cs="Times New Roman"/>
      <w:sz w:val="20"/>
      <w:szCs w:val="20"/>
      <w:lang w:val="cy-GB"/>
    </w:rPr>
  </w:style>
  <w:style w:type="character" w:customStyle="1" w:styleId="FootnoteTextChar">
    <w:name w:val="Footnote Text Char"/>
    <w:basedOn w:val="DefaultParagraphFont"/>
    <w:link w:val="FootnoteText"/>
    <w:uiPriority w:val="99"/>
    <w:rsid w:val="006B4F9C"/>
    <w:rPr>
      <w:rFonts w:ascii="Calibri" w:eastAsia="Calibri" w:hAnsi="Calibri" w:cs="Times New Roman"/>
      <w:sz w:val="20"/>
      <w:szCs w:val="20"/>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5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profile/welsh.cancer.intelligence.and.surveillance.un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pyke@macmillan.org.u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ncbi.nlm.nih.gov/pubmed/3558716" TargetMode="External"/><Relationship Id="rId2" Type="http://schemas.openxmlformats.org/officeDocument/2006/relationships/hyperlink" Target="mailto:kpyke@macmillan.org.uk" TargetMode="External"/><Relationship Id="rId1" Type="http://schemas.openxmlformats.org/officeDocument/2006/relationships/hyperlink" Target="https://www.ncbi.nlm.nih.gov/pubmed/3558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Kerry-Lynne Pyke</dc:creator>
  <cp:keywords/>
  <dc:description/>
  <cp:lastModifiedBy>Morgane Richards (Public Health Wales - No. 2 Capital Quarter)</cp:lastModifiedBy>
  <cp:revision>2</cp:revision>
  <dcterms:created xsi:type="dcterms:W3CDTF">2020-09-21T14:20:00Z</dcterms:created>
  <dcterms:modified xsi:type="dcterms:W3CDTF">2020-09-21T14:20:00Z</dcterms:modified>
</cp:coreProperties>
</file>