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4"/>
        <w:tblW w:w="9026" w:type="dxa"/>
        <w:tblInd w:w="-5" w:type="dxa"/>
        <w:tblLook w:val="04A0" w:firstRow="1" w:lastRow="0" w:firstColumn="1" w:lastColumn="0" w:noHBand="0" w:noVBand="1"/>
      </w:tblPr>
      <w:tblGrid>
        <w:gridCol w:w="2707"/>
        <w:gridCol w:w="80"/>
        <w:gridCol w:w="1231"/>
        <w:gridCol w:w="430"/>
        <w:gridCol w:w="1506"/>
        <w:gridCol w:w="306"/>
        <w:gridCol w:w="1051"/>
        <w:gridCol w:w="1715"/>
      </w:tblGrid>
      <w:tr w:rsidR="000A2ADC" w:rsidRPr="00AC7380" w14:paraId="49AD590E" w14:textId="77777777" w:rsidTr="009B0876">
        <w:tc>
          <w:tcPr>
            <w:tcW w:w="5848" w:type="dxa"/>
            <w:gridSpan w:val="5"/>
            <w:vMerge w:val="restart"/>
          </w:tcPr>
          <w:p w14:paraId="7E20382A" w14:textId="77777777" w:rsidR="000A2ADC" w:rsidRPr="00AC7380" w:rsidRDefault="000A2ADC" w:rsidP="007344C2">
            <w:pPr>
              <w:rPr>
                <w:rFonts w:ascii="Verdana" w:hAnsi="Verdana"/>
                <w:sz w:val="24"/>
              </w:rPr>
            </w:pPr>
            <w:r w:rsidRPr="00AC7380">
              <w:rPr>
                <w:rFonts w:ascii="Verdana" w:hAnsi="Verdana"/>
                <w:b/>
                <w:noProof/>
                <w:sz w:val="24"/>
                <w:lang w:eastAsia="en-GB"/>
              </w:rPr>
              <w:drawing>
                <wp:inline distT="0" distB="0" distL="0" distR="0" wp14:anchorId="32847793" wp14:editId="1EEC06E4">
                  <wp:extent cx="3122083" cy="734018"/>
                  <wp:effectExtent l="19050" t="0" r="2117" b="0"/>
                  <wp:docPr id="168"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178" w:type="dxa"/>
            <w:gridSpan w:val="3"/>
            <w:tcBorders>
              <w:bottom w:val="nil"/>
            </w:tcBorders>
          </w:tcPr>
          <w:p w14:paraId="3517AC9A" w14:textId="77777777" w:rsidR="000A2ADC" w:rsidRPr="00AC7380" w:rsidRDefault="000A2ADC" w:rsidP="007344C2">
            <w:pPr>
              <w:jc w:val="right"/>
              <w:rPr>
                <w:rFonts w:ascii="Verdana" w:hAnsi="Verdana"/>
                <w:b/>
                <w:sz w:val="24"/>
                <w:szCs w:val="24"/>
              </w:rPr>
            </w:pPr>
            <w:r w:rsidRPr="00AC7380">
              <w:rPr>
                <w:rFonts w:ascii="Verdana" w:hAnsi="Verdana"/>
                <w:b/>
                <w:sz w:val="24"/>
                <w:szCs w:val="24"/>
              </w:rPr>
              <w:t>Name of Meeting</w:t>
            </w:r>
          </w:p>
          <w:sdt>
            <w:sdtPr>
              <w:rPr>
                <w:rFonts w:ascii="Verdana" w:hAnsi="Verdana"/>
                <w:b/>
                <w:szCs w:val="24"/>
              </w:rPr>
              <w:alias w:val="Name of meeting"/>
              <w:tag w:val="Name of meeting"/>
              <w:id w:val="1886526"/>
              <w:placeholder>
                <w:docPart w:val="0017E5D2C7864C97BA82E637C6FB9B24"/>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14:paraId="684567D6" w14:textId="77777777" w:rsidR="000A2ADC" w:rsidRPr="00AC7380" w:rsidRDefault="000A2ADC" w:rsidP="007344C2">
                <w:pPr>
                  <w:jc w:val="right"/>
                  <w:rPr>
                    <w:rFonts w:ascii="Verdana" w:hAnsi="Verdana"/>
                    <w:b/>
                    <w:sz w:val="24"/>
                    <w:szCs w:val="24"/>
                  </w:rPr>
                </w:pPr>
                <w:r w:rsidRPr="00AC7380">
                  <w:rPr>
                    <w:rFonts w:ascii="Verdana" w:hAnsi="Verdana"/>
                    <w:b/>
                    <w:szCs w:val="24"/>
                  </w:rPr>
                  <w:t>Board</w:t>
                </w:r>
              </w:p>
            </w:sdtContent>
          </w:sdt>
        </w:tc>
      </w:tr>
      <w:tr w:rsidR="000A2ADC" w:rsidRPr="00AC7380" w14:paraId="7489B484" w14:textId="77777777" w:rsidTr="009B0876">
        <w:tc>
          <w:tcPr>
            <w:tcW w:w="5848" w:type="dxa"/>
            <w:gridSpan w:val="5"/>
            <w:vMerge/>
          </w:tcPr>
          <w:p w14:paraId="1A3E3F89" w14:textId="77777777" w:rsidR="000A2ADC" w:rsidRPr="00AC7380" w:rsidRDefault="000A2ADC" w:rsidP="007344C2">
            <w:pPr>
              <w:rPr>
                <w:rFonts w:ascii="Verdana" w:hAnsi="Verdana"/>
                <w:b/>
                <w:noProof/>
                <w:sz w:val="24"/>
                <w:lang w:eastAsia="en-GB"/>
              </w:rPr>
            </w:pPr>
          </w:p>
        </w:tc>
        <w:tc>
          <w:tcPr>
            <w:tcW w:w="3178" w:type="dxa"/>
            <w:gridSpan w:val="3"/>
            <w:tcBorders>
              <w:top w:val="nil"/>
              <w:bottom w:val="nil"/>
            </w:tcBorders>
          </w:tcPr>
          <w:p w14:paraId="61182F41" w14:textId="77777777" w:rsidR="000A2ADC" w:rsidRPr="00AC7380" w:rsidRDefault="000A2ADC" w:rsidP="007344C2">
            <w:pPr>
              <w:jc w:val="right"/>
              <w:rPr>
                <w:rFonts w:ascii="Verdana" w:hAnsi="Verdana"/>
                <w:b/>
                <w:sz w:val="24"/>
              </w:rPr>
            </w:pPr>
            <w:r w:rsidRPr="00AC7380">
              <w:rPr>
                <w:rFonts w:ascii="Verdana" w:hAnsi="Verdana"/>
                <w:b/>
                <w:sz w:val="24"/>
              </w:rPr>
              <w:t>Date of Meeting</w:t>
            </w:r>
          </w:p>
          <w:p w14:paraId="77D9AB33" w14:textId="77777777" w:rsidR="000A2ADC" w:rsidRPr="00AC7380" w:rsidRDefault="00AD3A69" w:rsidP="00AD3A69">
            <w:pPr>
              <w:jc w:val="right"/>
              <w:rPr>
                <w:rFonts w:ascii="Verdana" w:hAnsi="Verdana"/>
                <w:color w:val="FF0000"/>
                <w:sz w:val="24"/>
              </w:rPr>
            </w:pPr>
            <w:r>
              <w:rPr>
                <w:rFonts w:ascii="Verdana" w:hAnsi="Verdana"/>
                <w:sz w:val="24"/>
              </w:rPr>
              <w:t>27</w:t>
            </w:r>
            <w:r w:rsidR="003B1702">
              <w:rPr>
                <w:rFonts w:ascii="Verdana" w:hAnsi="Verdana"/>
                <w:sz w:val="24"/>
              </w:rPr>
              <w:t xml:space="preserve"> </w:t>
            </w:r>
            <w:r>
              <w:rPr>
                <w:rFonts w:ascii="Verdana" w:hAnsi="Verdana"/>
                <w:sz w:val="24"/>
              </w:rPr>
              <w:t>July</w:t>
            </w:r>
            <w:r w:rsidR="003B1702">
              <w:rPr>
                <w:rFonts w:ascii="Verdana" w:hAnsi="Verdana"/>
                <w:sz w:val="24"/>
              </w:rPr>
              <w:t xml:space="preserve"> </w:t>
            </w:r>
            <w:r w:rsidR="00365579">
              <w:rPr>
                <w:rFonts w:ascii="Verdana" w:hAnsi="Verdana"/>
                <w:sz w:val="24"/>
              </w:rPr>
              <w:t>20</w:t>
            </w:r>
            <w:r w:rsidR="00DE4457">
              <w:rPr>
                <w:rFonts w:ascii="Verdana" w:hAnsi="Verdana"/>
                <w:sz w:val="24"/>
              </w:rPr>
              <w:t>23</w:t>
            </w:r>
          </w:p>
        </w:tc>
      </w:tr>
      <w:tr w:rsidR="000A2ADC" w:rsidRPr="00AC7380" w14:paraId="3C28F95A" w14:textId="77777777" w:rsidTr="009B0876">
        <w:tc>
          <w:tcPr>
            <w:tcW w:w="5848" w:type="dxa"/>
            <w:gridSpan w:val="5"/>
            <w:vMerge/>
            <w:tcBorders>
              <w:bottom w:val="single" w:sz="4" w:space="0" w:color="auto"/>
            </w:tcBorders>
          </w:tcPr>
          <w:p w14:paraId="61DF28DB" w14:textId="77777777" w:rsidR="000A2ADC" w:rsidRPr="00AC7380" w:rsidRDefault="000A2ADC" w:rsidP="007344C2">
            <w:pPr>
              <w:rPr>
                <w:rFonts w:ascii="Verdana" w:hAnsi="Verdana"/>
                <w:b/>
                <w:noProof/>
                <w:sz w:val="24"/>
                <w:lang w:eastAsia="en-GB"/>
              </w:rPr>
            </w:pPr>
          </w:p>
        </w:tc>
        <w:tc>
          <w:tcPr>
            <w:tcW w:w="3178" w:type="dxa"/>
            <w:gridSpan w:val="3"/>
            <w:tcBorders>
              <w:top w:val="nil"/>
              <w:bottom w:val="single" w:sz="4" w:space="0" w:color="auto"/>
            </w:tcBorders>
          </w:tcPr>
          <w:p w14:paraId="492F51F8" w14:textId="77777777" w:rsidR="000A2ADC" w:rsidRPr="00AC7380" w:rsidRDefault="000A2ADC" w:rsidP="007344C2">
            <w:pPr>
              <w:jc w:val="right"/>
              <w:rPr>
                <w:rFonts w:ascii="Verdana" w:hAnsi="Verdana"/>
                <w:b/>
                <w:sz w:val="24"/>
              </w:rPr>
            </w:pPr>
            <w:r w:rsidRPr="00AC7380">
              <w:rPr>
                <w:rFonts w:ascii="Verdana" w:hAnsi="Verdana"/>
                <w:b/>
                <w:sz w:val="24"/>
              </w:rPr>
              <w:t>Agenda item:</w:t>
            </w:r>
          </w:p>
          <w:p w14:paraId="37686CF6" w14:textId="1D4C07A4" w:rsidR="000A2ADC" w:rsidRPr="00423278" w:rsidRDefault="00D3332F" w:rsidP="00DA575D">
            <w:pPr>
              <w:jc w:val="right"/>
              <w:rPr>
                <w:rFonts w:ascii="Verdana" w:hAnsi="Verdana"/>
                <w:color w:val="FF0000"/>
                <w:sz w:val="24"/>
              </w:rPr>
            </w:pPr>
            <w:r w:rsidRPr="00D3332F">
              <w:rPr>
                <w:rFonts w:ascii="Verdana" w:hAnsi="Verdana"/>
                <w:sz w:val="24"/>
              </w:rPr>
              <w:t>4.4</w:t>
            </w:r>
          </w:p>
        </w:tc>
      </w:tr>
      <w:tr w:rsidR="000A2ADC" w:rsidRPr="00AC7380" w14:paraId="1DA28D86" w14:textId="77777777" w:rsidTr="009B0876">
        <w:tc>
          <w:tcPr>
            <w:tcW w:w="9026" w:type="dxa"/>
            <w:gridSpan w:val="8"/>
            <w:tcBorders>
              <w:left w:val="nil"/>
              <w:right w:val="nil"/>
            </w:tcBorders>
            <w:vAlign w:val="center"/>
          </w:tcPr>
          <w:p w14:paraId="0AF2BF53" w14:textId="77777777" w:rsidR="000A2ADC" w:rsidRPr="00AC7380" w:rsidRDefault="000A2ADC" w:rsidP="007344C2">
            <w:pPr>
              <w:rPr>
                <w:rFonts w:ascii="Verdana" w:hAnsi="Verdana"/>
                <w:b/>
                <w:sz w:val="28"/>
              </w:rPr>
            </w:pPr>
          </w:p>
        </w:tc>
      </w:tr>
      <w:tr w:rsidR="000A2ADC" w:rsidRPr="00AC7380" w14:paraId="549C7379" w14:textId="77777777" w:rsidTr="009B0876">
        <w:tc>
          <w:tcPr>
            <w:tcW w:w="9026" w:type="dxa"/>
            <w:gridSpan w:val="8"/>
            <w:vAlign w:val="center"/>
          </w:tcPr>
          <w:p w14:paraId="001C1444" w14:textId="77777777" w:rsidR="00365579" w:rsidRPr="005B6249" w:rsidRDefault="00365579" w:rsidP="00365579">
            <w:pPr>
              <w:jc w:val="center"/>
              <w:rPr>
                <w:rFonts w:ascii="Verdana" w:hAnsi="Verdana"/>
                <w:b/>
                <w:sz w:val="24"/>
                <w:szCs w:val="36"/>
              </w:rPr>
            </w:pPr>
          </w:p>
          <w:p w14:paraId="50422C39" w14:textId="77777777" w:rsidR="000A2ADC" w:rsidRDefault="00423E4B" w:rsidP="00365579">
            <w:pPr>
              <w:jc w:val="center"/>
              <w:rPr>
                <w:rFonts w:ascii="Verdana" w:hAnsi="Verdana"/>
                <w:b/>
                <w:sz w:val="40"/>
                <w:szCs w:val="36"/>
              </w:rPr>
            </w:pPr>
            <w:r>
              <w:rPr>
                <w:rFonts w:ascii="Verdana" w:hAnsi="Verdana"/>
                <w:b/>
                <w:sz w:val="40"/>
                <w:szCs w:val="36"/>
              </w:rPr>
              <w:t xml:space="preserve">Performance and </w:t>
            </w:r>
            <w:r w:rsidR="0083723B">
              <w:rPr>
                <w:rFonts w:ascii="Verdana" w:hAnsi="Verdana"/>
                <w:b/>
                <w:sz w:val="40"/>
                <w:szCs w:val="36"/>
              </w:rPr>
              <w:t>Insight</w:t>
            </w:r>
            <w:r w:rsidR="00365579">
              <w:rPr>
                <w:rFonts w:ascii="Verdana" w:hAnsi="Verdana"/>
                <w:b/>
                <w:sz w:val="40"/>
                <w:szCs w:val="36"/>
              </w:rPr>
              <w:t xml:space="preserve"> Report</w:t>
            </w:r>
          </w:p>
          <w:p w14:paraId="15A77767" w14:textId="77777777" w:rsidR="00365579" w:rsidRPr="005B6249" w:rsidRDefault="00365579" w:rsidP="00365579">
            <w:pPr>
              <w:jc w:val="center"/>
              <w:rPr>
                <w:rFonts w:ascii="Verdana" w:hAnsi="Verdana"/>
                <w:b/>
                <w:sz w:val="24"/>
                <w:szCs w:val="36"/>
              </w:rPr>
            </w:pPr>
          </w:p>
        </w:tc>
      </w:tr>
      <w:tr w:rsidR="000A2ADC" w:rsidRPr="00AC7380" w14:paraId="7C2F3377" w14:textId="77777777" w:rsidTr="009B0876">
        <w:tc>
          <w:tcPr>
            <w:tcW w:w="2268" w:type="dxa"/>
          </w:tcPr>
          <w:p w14:paraId="1106C69F" w14:textId="77777777" w:rsidR="000A2ADC" w:rsidRPr="00AC7380" w:rsidRDefault="000A2ADC" w:rsidP="007344C2">
            <w:pPr>
              <w:rPr>
                <w:rFonts w:ascii="Verdana" w:hAnsi="Verdana"/>
                <w:b/>
                <w:sz w:val="24"/>
                <w:szCs w:val="24"/>
              </w:rPr>
            </w:pPr>
            <w:r w:rsidRPr="00AC7380">
              <w:rPr>
                <w:rFonts w:ascii="Verdana" w:hAnsi="Verdana"/>
                <w:b/>
                <w:sz w:val="24"/>
                <w:szCs w:val="24"/>
              </w:rPr>
              <w:t>Executive lead:</w:t>
            </w:r>
          </w:p>
        </w:tc>
        <w:tc>
          <w:tcPr>
            <w:tcW w:w="6758" w:type="dxa"/>
            <w:gridSpan w:val="7"/>
          </w:tcPr>
          <w:p w14:paraId="4BFE772F" w14:textId="77777777" w:rsidR="000A2ADC" w:rsidRPr="00AC7380" w:rsidRDefault="000A2ADC" w:rsidP="007344C2">
            <w:pPr>
              <w:rPr>
                <w:rFonts w:ascii="Verdana" w:eastAsia="Verdana" w:hAnsi="Verdana"/>
                <w:sz w:val="24"/>
                <w:szCs w:val="24"/>
              </w:rPr>
            </w:pPr>
            <w:r w:rsidRPr="00AC7380">
              <w:rPr>
                <w:rFonts w:ascii="Verdana" w:eastAsia="Verdana" w:hAnsi="Verdana"/>
                <w:sz w:val="24"/>
                <w:szCs w:val="24"/>
              </w:rPr>
              <w:t>Huw George, Deputy Chief Executive/ Executive Director Operations and Finance</w:t>
            </w:r>
          </w:p>
        </w:tc>
      </w:tr>
      <w:tr w:rsidR="000A2ADC" w:rsidRPr="00AC7380" w14:paraId="36B64FF7" w14:textId="77777777" w:rsidTr="009B0876">
        <w:tc>
          <w:tcPr>
            <w:tcW w:w="2268" w:type="dxa"/>
          </w:tcPr>
          <w:p w14:paraId="39D663ED" w14:textId="77777777" w:rsidR="000A2ADC" w:rsidRPr="00AC7380" w:rsidRDefault="009B0876" w:rsidP="009B0876">
            <w:pPr>
              <w:rPr>
                <w:rFonts w:ascii="Verdana" w:hAnsi="Verdana"/>
                <w:b/>
                <w:sz w:val="24"/>
                <w:szCs w:val="24"/>
              </w:rPr>
            </w:pPr>
            <w:r>
              <w:rPr>
                <w:rFonts w:ascii="Verdana" w:hAnsi="Verdana"/>
                <w:b/>
                <w:sz w:val="24"/>
                <w:szCs w:val="24"/>
              </w:rPr>
              <w:t>Contributor</w:t>
            </w:r>
            <w:r w:rsidR="003B1702">
              <w:rPr>
                <w:rFonts w:ascii="Verdana" w:hAnsi="Verdana"/>
                <w:b/>
                <w:sz w:val="24"/>
                <w:szCs w:val="24"/>
              </w:rPr>
              <w:t>s</w:t>
            </w:r>
            <w:r w:rsidR="000A2ADC" w:rsidRPr="00AC7380">
              <w:rPr>
                <w:rFonts w:ascii="Verdana" w:hAnsi="Verdana"/>
                <w:b/>
                <w:sz w:val="24"/>
                <w:szCs w:val="24"/>
              </w:rPr>
              <w:t>:</w:t>
            </w:r>
          </w:p>
        </w:tc>
        <w:tc>
          <w:tcPr>
            <w:tcW w:w="6758" w:type="dxa"/>
            <w:gridSpan w:val="7"/>
          </w:tcPr>
          <w:p w14:paraId="70C45323" w14:textId="77777777" w:rsidR="000A2ADC" w:rsidRPr="00AC7380" w:rsidRDefault="000A2ADC" w:rsidP="00C52823">
            <w:pPr>
              <w:rPr>
                <w:rFonts w:ascii="Verdana" w:eastAsia="Verdana" w:hAnsi="Verdana"/>
                <w:sz w:val="24"/>
                <w:szCs w:val="24"/>
              </w:rPr>
            </w:pPr>
            <w:r w:rsidRPr="00AC7380">
              <w:rPr>
                <w:rFonts w:ascii="Verdana" w:eastAsia="Verdana" w:hAnsi="Verdana"/>
                <w:sz w:val="24"/>
                <w:szCs w:val="24"/>
              </w:rPr>
              <w:t xml:space="preserve">Huw George, Deputy Chief Executive and </w:t>
            </w:r>
            <w:r w:rsidR="00423278">
              <w:rPr>
                <w:rFonts w:ascii="Verdana" w:eastAsia="Verdana" w:hAnsi="Verdana"/>
                <w:sz w:val="24"/>
                <w:szCs w:val="24"/>
              </w:rPr>
              <w:t xml:space="preserve">Executive </w:t>
            </w:r>
            <w:r w:rsidRPr="00AC7380">
              <w:rPr>
                <w:rFonts w:ascii="Verdana" w:eastAsia="Verdana" w:hAnsi="Verdana"/>
                <w:sz w:val="24"/>
                <w:szCs w:val="24"/>
              </w:rPr>
              <w:t>Dire</w:t>
            </w:r>
            <w:r w:rsidR="00731CD9">
              <w:rPr>
                <w:rFonts w:ascii="Verdana" w:eastAsia="Verdana" w:hAnsi="Verdana"/>
                <w:sz w:val="24"/>
                <w:szCs w:val="24"/>
              </w:rPr>
              <w:t xml:space="preserve">ctor of Operations and Finance; </w:t>
            </w:r>
            <w:r w:rsidR="00C52823">
              <w:rPr>
                <w:rFonts w:ascii="Verdana" w:eastAsia="Verdana" w:hAnsi="Verdana"/>
                <w:sz w:val="24"/>
                <w:szCs w:val="24"/>
              </w:rPr>
              <w:t>Meng Khaw</w:t>
            </w:r>
            <w:r w:rsidR="00D93196">
              <w:rPr>
                <w:rFonts w:ascii="Verdana" w:eastAsia="Verdana" w:hAnsi="Verdana"/>
                <w:sz w:val="24"/>
                <w:szCs w:val="24"/>
              </w:rPr>
              <w:t xml:space="preserve">, </w:t>
            </w:r>
            <w:r w:rsidR="00C52823">
              <w:rPr>
                <w:rFonts w:ascii="Verdana" w:eastAsia="Verdana" w:hAnsi="Verdana"/>
                <w:sz w:val="24"/>
                <w:szCs w:val="24"/>
              </w:rPr>
              <w:t xml:space="preserve">National </w:t>
            </w:r>
            <w:r w:rsidR="009B0876" w:rsidRPr="009B0876">
              <w:rPr>
                <w:rFonts w:ascii="Verdana" w:hAnsi="Verdana" w:cs="Arial"/>
                <w:bCs/>
                <w:sz w:val="24"/>
                <w:szCs w:val="20"/>
                <w:lang w:eastAsia="en-GB"/>
              </w:rPr>
              <w:t xml:space="preserve">Director of </w:t>
            </w:r>
            <w:r w:rsidR="00C52823">
              <w:rPr>
                <w:rFonts w:ascii="Verdana" w:hAnsi="Verdana" w:cs="Arial"/>
                <w:bCs/>
                <w:sz w:val="24"/>
                <w:szCs w:val="20"/>
                <w:lang w:eastAsia="en-GB"/>
              </w:rPr>
              <w:t>Screening &amp; Health Protection</w:t>
            </w:r>
            <w:r w:rsidR="009B0876">
              <w:rPr>
                <w:rFonts w:ascii="Verdana" w:hAnsi="Verdana" w:cs="Arial"/>
                <w:bCs/>
                <w:sz w:val="24"/>
                <w:szCs w:val="20"/>
                <w:lang w:eastAsia="en-GB"/>
              </w:rPr>
              <w:t>;</w:t>
            </w:r>
            <w:r w:rsidR="009B0876" w:rsidRPr="009B0876">
              <w:rPr>
                <w:rFonts w:ascii="Arial" w:hAnsi="Arial" w:cs="Arial"/>
                <w:b/>
                <w:bCs/>
                <w:sz w:val="24"/>
                <w:szCs w:val="20"/>
                <w:lang w:eastAsia="en-GB"/>
              </w:rPr>
              <w:t xml:space="preserve"> </w:t>
            </w:r>
            <w:r w:rsidR="00423E4B">
              <w:rPr>
                <w:rFonts w:ascii="Verdana" w:eastAsia="Verdana" w:hAnsi="Verdana"/>
                <w:sz w:val="24"/>
                <w:szCs w:val="24"/>
              </w:rPr>
              <w:t>Neil Lewis</w:t>
            </w:r>
            <w:r w:rsidRPr="00AC7380">
              <w:rPr>
                <w:rFonts w:ascii="Verdana" w:eastAsia="Verdana" w:hAnsi="Verdana"/>
                <w:sz w:val="24"/>
                <w:szCs w:val="24"/>
              </w:rPr>
              <w:t xml:space="preserve">, Director of People and Organisational Development; </w:t>
            </w:r>
            <w:r w:rsidR="00A91FD8">
              <w:rPr>
                <w:rFonts w:ascii="Verdana" w:eastAsia="Verdana" w:hAnsi="Verdana"/>
                <w:sz w:val="24"/>
                <w:szCs w:val="24"/>
              </w:rPr>
              <w:t xml:space="preserve">Rhiannon Beaumont-Wood, </w:t>
            </w:r>
            <w:r w:rsidR="00423278">
              <w:rPr>
                <w:rFonts w:ascii="Verdana" w:eastAsia="Verdana" w:hAnsi="Verdana"/>
                <w:sz w:val="24"/>
                <w:szCs w:val="24"/>
              </w:rPr>
              <w:t xml:space="preserve">Executive </w:t>
            </w:r>
            <w:r w:rsidRPr="00AC7380">
              <w:rPr>
                <w:rFonts w:ascii="Verdana" w:eastAsia="Verdana" w:hAnsi="Verdana"/>
                <w:sz w:val="24"/>
                <w:szCs w:val="24"/>
              </w:rPr>
              <w:t>Director of Quality Nursing and Other Allied Health Professionals; Angela Fisher, Deputy Director of Finance; Ioan Francis, Head of Performance</w:t>
            </w:r>
            <w:r w:rsidR="009B0876">
              <w:rPr>
                <w:rFonts w:ascii="Verdana" w:eastAsia="Verdana" w:hAnsi="Verdana"/>
                <w:sz w:val="24"/>
                <w:szCs w:val="24"/>
              </w:rPr>
              <w:t xml:space="preserve"> </w:t>
            </w:r>
          </w:p>
        </w:tc>
      </w:tr>
      <w:tr w:rsidR="000A2ADC" w:rsidRPr="00AC7380" w14:paraId="0242D991" w14:textId="77777777" w:rsidTr="009B0876">
        <w:trPr>
          <w:trHeight w:val="149"/>
        </w:trPr>
        <w:tc>
          <w:tcPr>
            <w:tcW w:w="2268" w:type="dxa"/>
            <w:tcBorders>
              <w:left w:val="nil"/>
              <w:right w:val="nil"/>
            </w:tcBorders>
          </w:tcPr>
          <w:p w14:paraId="0B268017" w14:textId="77777777" w:rsidR="000A2ADC" w:rsidRPr="00AC7380" w:rsidRDefault="000A2ADC" w:rsidP="007344C2">
            <w:pPr>
              <w:rPr>
                <w:rFonts w:ascii="Verdana" w:hAnsi="Verdana"/>
                <w:b/>
                <w:sz w:val="12"/>
                <w:szCs w:val="12"/>
              </w:rPr>
            </w:pPr>
          </w:p>
        </w:tc>
        <w:tc>
          <w:tcPr>
            <w:tcW w:w="6758" w:type="dxa"/>
            <w:gridSpan w:val="7"/>
            <w:tcBorders>
              <w:left w:val="nil"/>
              <w:right w:val="nil"/>
            </w:tcBorders>
          </w:tcPr>
          <w:p w14:paraId="5F0C9F29" w14:textId="77777777" w:rsidR="000A2ADC" w:rsidRPr="00AC7380" w:rsidRDefault="000A2ADC" w:rsidP="007344C2">
            <w:pPr>
              <w:rPr>
                <w:rFonts w:ascii="Verdana" w:hAnsi="Verdana"/>
                <w:sz w:val="12"/>
                <w:szCs w:val="12"/>
              </w:rPr>
            </w:pPr>
          </w:p>
        </w:tc>
      </w:tr>
      <w:tr w:rsidR="000A2ADC" w:rsidRPr="00AC7380" w14:paraId="1F959BC2" w14:textId="77777777" w:rsidTr="009B0876">
        <w:tc>
          <w:tcPr>
            <w:tcW w:w="2268" w:type="dxa"/>
          </w:tcPr>
          <w:p w14:paraId="59A131D8" w14:textId="77777777" w:rsidR="000A2ADC" w:rsidRPr="00AC7380" w:rsidRDefault="000A2ADC" w:rsidP="007344C2">
            <w:pPr>
              <w:rPr>
                <w:rFonts w:ascii="Verdana" w:hAnsi="Verdana"/>
                <w:b/>
                <w:sz w:val="24"/>
                <w:szCs w:val="24"/>
              </w:rPr>
            </w:pPr>
            <w:r w:rsidRPr="00AC7380">
              <w:rPr>
                <w:rFonts w:ascii="Verdana" w:hAnsi="Verdana"/>
                <w:b/>
                <w:sz w:val="24"/>
                <w:szCs w:val="24"/>
              </w:rPr>
              <w:t>Approval/Scrutiny route:</w:t>
            </w:r>
          </w:p>
        </w:tc>
        <w:tc>
          <w:tcPr>
            <w:tcW w:w="6758" w:type="dxa"/>
            <w:gridSpan w:val="7"/>
          </w:tcPr>
          <w:p w14:paraId="1801FEB8" w14:textId="77777777" w:rsidR="000A2ADC" w:rsidRPr="009B0876" w:rsidRDefault="005302DB" w:rsidP="005302DB">
            <w:pPr>
              <w:rPr>
                <w:rFonts w:ascii="Verdana" w:eastAsia="Verdana" w:hAnsi="Verdana"/>
                <w:color w:val="FFFFFF" w:themeColor="background1"/>
                <w:sz w:val="24"/>
                <w:szCs w:val="24"/>
                <w:highlight w:val="yellow"/>
              </w:rPr>
            </w:pPr>
            <w:r>
              <w:rPr>
                <w:rFonts w:ascii="Verdana" w:eastAsia="Verdana" w:hAnsi="Verdana"/>
                <w:sz w:val="24"/>
                <w:szCs w:val="24"/>
              </w:rPr>
              <w:t>Business Executive Team</w:t>
            </w:r>
            <w:r w:rsidR="002D2B15">
              <w:rPr>
                <w:rFonts w:ascii="Verdana" w:eastAsia="Verdana" w:hAnsi="Verdana"/>
                <w:sz w:val="24"/>
                <w:szCs w:val="24"/>
              </w:rPr>
              <w:t xml:space="preserve"> (19 July 2023)</w:t>
            </w:r>
          </w:p>
        </w:tc>
      </w:tr>
      <w:tr w:rsidR="000A2ADC" w:rsidRPr="00AC7380" w14:paraId="12AF78BD" w14:textId="77777777" w:rsidTr="009B0876">
        <w:tc>
          <w:tcPr>
            <w:tcW w:w="9026" w:type="dxa"/>
            <w:gridSpan w:val="8"/>
            <w:tcBorders>
              <w:left w:val="nil"/>
              <w:bottom w:val="single" w:sz="4" w:space="0" w:color="auto"/>
              <w:right w:val="nil"/>
            </w:tcBorders>
          </w:tcPr>
          <w:p w14:paraId="49851CD2" w14:textId="77777777" w:rsidR="000A2ADC" w:rsidRPr="00AC7380" w:rsidRDefault="000A2ADC" w:rsidP="007344C2">
            <w:pPr>
              <w:rPr>
                <w:rFonts w:ascii="Verdana" w:hAnsi="Verdana"/>
                <w:b/>
                <w:sz w:val="12"/>
                <w:szCs w:val="12"/>
              </w:rPr>
            </w:pPr>
          </w:p>
        </w:tc>
      </w:tr>
      <w:tr w:rsidR="000A2ADC" w:rsidRPr="00AC7380" w14:paraId="4D8E29A8" w14:textId="77777777" w:rsidTr="009B0876">
        <w:tc>
          <w:tcPr>
            <w:tcW w:w="9026" w:type="dxa"/>
            <w:gridSpan w:val="8"/>
            <w:tcBorders>
              <w:left w:val="single" w:sz="4" w:space="0" w:color="auto"/>
              <w:right w:val="single" w:sz="4" w:space="0" w:color="auto"/>
            </w:tcBorders>
          </w:tcPr>
          <w:p w14:paraId="70B792F8" w14:textId="77777777" w:rsidR="000A2ADC" w:rsidRPr="00AC7380" w:rsidRDefault="000A2ADC" w:rsidP="007344C2">
            <w:pPr>
              <w:rPr>
                <w:rFonts w:ascii="Verdana" w:hAnsi="Verdana"/>
                <w:b/>
                <w:sz w:val="24"/>
                <w:szCs w:val="24"/>
              </w:rPr>
            </w:pPr>
            <w:r w:rsidRPr="00AC7380">
              <w:rPr>
                <w:rFonts w:ascii="Verdana" w:hAnsi="Verdana"/>
                <w:b/>
                <w:sz w:val="24"/>
                <w:szCs w:val="24"/>
              </w:rPr>
              <w:t>Purpose</w:t>
            </w:r>
          </w:p>
        </w:tc>
      </w:tr>
      <w:tr w:rsidR="000A2ADC" w:rsidRPr="00AC7380" w14:paraId="5A8DFDDA" w14:textId="77777777" w:rsidTr="009B0876">
        <w:tc>
          <w:tcPr>
            <w:tcW w:w="9026" w:type="dxa"/>
            <w:gridSpan w:val="8"/>
            <w:tcBorders>
              <w:left w:val="single" w:sz="4" w:space="0" w:color="auto"/>
              <w:right w:val="single" w:sz="4" w:space="0" w:color="auto"/>
            </w:tcBorders>
          </w:tcPr>
          <w:p w14:paraId="61E0EBB8" w14:textId="77777777" w:rsidR="0083723B" w:rsidRPr="0083723B" w:rsidRDefault="0083723B" w:rsidP="00B83427">
            <w:pPr>
              <w:spacing w:before="60"/>
              <w:rPr>
                <w:rFonts w:ascii="Verdana" w:eastAsia="Verdana" w:hAnsi="Verdana"/>
                <w:sz w:val="24"/>
                <w:szCs w:val="24"/>
              </w:rPr>
            </w:pPr>
            <w:r w:rsidRPr="0083723B">
              <w:rPr>
                <w:rFonts w:ascii="Verdana" w:eastAsia="Verdana" w:hAnsi="Verdana"/>
                <w:sz w:val="24"/>
                <w:szCs w:val="24"/>
              </w:rPr>
              <w:t xml:space="preserve">Our </w:t>
            </w:r>
            <w:r w:rsidR="00AD3A69">
              <w:rPr>
                <w:rFonts w:ascii="Verdana" w:eastAsia="Verdana" w:hAnsi="Verdana"/>
                <w:sz w:val="24"/>
                <w:szCs w:val="24"/>
              </w:rPr>
              <w:t xml:space="preserve">refreshed Month 3 </w:t>
            </w:r>
            <w:r w:rsidRPr="0083723B">
              <w:rPr>
                <w:rFonts w:ascii="Verdana" w:eastAsia="Verdana" w:hAnsi="Verdana"/>
                <w:sz w:val="24"/>
                <w:szCs w:val="24"/>
              </w:rPr>
              <w:t xml:space="preserve">Performance </w:t>
            </w:r>
            <w:r>
              <w:rPr>
                <w:rFonts w:ascii="Verdana" w:eastAsia="Verdana" w:hAnsi="Verdana"/>
                <w:sz w:val="24"/>
                <w:szCs w:val="24"/>
              </w:rPr>
              <w:t xml:space="preserve">and Insight </w:t>
            </w:r>
            <w:r w:rsidRPr="0083723B">
              <w:rPr>
                <w:rFonts w:ascii="Verdana" w:eastAsia="Verdana" w:hAnsi="Verdana"/>
                <w:sz w:val="24"/>
                <w:szCs w:val="24"/>
              </w:rPr>
              <w:t>Report</w:t>
            </w:r>
            <w:r w:rsidR="002124E2">
              <w:rPr>
                <w:rFonts w:ascii="Verdana" w:eastAsia="Verdana" w:hAnsi="Verdana"/>
                <w:sz w:val="24"/>
                <w:szCs w:val="24"/>
              </w:rPr>
              <w:t xml:space="preserve"> focuses</w:t>
            </w:r>
            <w:r w:rsidRPr="0083723B">
              <w:rPr>
                <w:rFonts w:ascii="Verdana" w:eastAsia="Verdana" w:hAnsi="Verdana"/>
                <w:sz w:val="24"/>
                <w:szCs w:val="24"/>
              </w:rPr>
              <w:t xml:space="preserve"> on delivering actionable insights </w:t>
            </w:r>
            <w:r w:rsidR="00AD3A69">
              <w:rPr>
                <w:rFonts w:ascii="Verdana" w:eastAsia="Verdana" w:hAnsi="Verdana"/>
                <w:sz w:val="24"/>
                <w:szCs w:val="24"/>
              </w:rPr>
              <w:t xml:space="preserve">and assurance </w:t>
            </w:r>
            <w:r w:rsidR="002124E2">
              <w:rPr>
                <w:rFonts w:ascii="Verdana" w:eastAsia="Verdana" w:hAnsi="Verdana"/>
                <w:sz w:val="24"/>
                <w:szCs w:val="24"/>
              </w:rPr>
              <w:t>whilst</w:t>
            </w:r>
            <w:r w:rsidRPr="0083723B">
              <w:rPr>
                <w:rFonts w:ascii="Verdana" w:eastAsia="Verdana" w:hAnsi="Verdana"/>
                <w:sz w:val="24"/>
                <w:szCs w:val="24"/>
              </w:rPr>
              <w:t xml:space="preserve"> identifying areas </w:t>
            </w:r>
            <w:r>
              <w:rPr>
                <w:rFonts w:ascii="Verdana" w:eastAsia="Verdana" w:hAnsi="Verdana"/>
                <w:sz w:val="24"/>
                <w:szCs w:val="24"/>
              </w:rPr>
              <w:t xml:space="preserve">for further </w:t>
            </w:r>
            <w:r w:rsidR="002124E2">
              <w:rPr>
                <w:rFonts w:ascii="Verdana" w:eastAsia="Verdana" w:hAnsi="Verdana"/>
                <w:sz w:val="24"/>
                <w:szCs w:val="24"/>
              </w:rPr>
              <w:t xml:space="preserve">improvement </w:t>
            </w:r>
            <w:r w:rsidRPr="0083723B">
              <w:rPr>
                <w:rFonts w:ascii="Verdana" w:eastAsia="Verdana" w:hAnsi="Verdana"/>
                <w:sz w:val="24"/>
                <w:szCs w:val="24"/>
              </w:rPr>
              <w:t>across the following key themes;</w:t>
            </w:r>
          </w:p>
          <w:p w14:paraId="0CBFDBF2" w14:textId="77777777" w:rsidR="0083723B" w:rsidRPr="0083723B" w:rsidRDefault="0083723B" w:rsidP="0083723B">
            <w:pPr>
              <w:rPr>
                <w:rFonts w:ascii="Verdana" w:eastAsia="Verdana" w:hAnsi="Verdana"/>
                <w:sz w:val="10"/>
                <w:szCs w:val="24"/>
              </w:rPr>
            </w:pPr>
          </w:p>
          <w:p w14:paraId="37658E2F" w14:textId="77777777" w:rsidR="0083723B" w:rsidRPr="0083723B" w:rsidRDefault="00AD3A69" w:rsidP="00B83427">
            <w:pPr>
              <w:pStyle w:val="ListParagraph"/>
              <w:numPr>
                <w:ilvl w:val="0"/>
                <w:numId w:val="11"/>
              </w:numPr>
              <w:spacing w:before="60"/>
              <w:ind w:left="714" w:hanging="357"/>
              <w:rPr>
                <w:rFonts w:ascii="Verdana" w:eastAsia="Verdana" w:hAnsi="Verdana"/>
                <w:sz w:val="24"/>
                <w:szCs w:val="24"/>
              </w:rPr>
            </w:pPr>
            <w:r w:rsidRPr="00AD3A69">
              <w:rPr>
                <w:rFonts w:ascii="Verdana" w:eastAsia="Verdana" w:hAnsi="Verdana"/>
                <w:i/>
                <w:sz w:val="24"/>
                <w:szCs w:val="24"/>
              </w:rPr>
              <w:t>Governance and Accountability</w:t>
            </w:r>
            <w:r>
              <w:rPr>
                <w:rFonts w:ascii="Verdana" w:eastAsia="Verdana" w:hAnsi="Verdana"/>
                <w:sz w:val="24"/>
                <w:szCs w:val="24"/>
              </w:rPr>
              <w:t xml:space="preserve">; including Board and Corporate Governance, Financial Governance, Workforce Governance, </w:t>
            </w:r>
            <w:r w:rsidR="008B7D3E">
              <w:rPr>
                <w:rFonts w:ascii="Verdana" w:eastAsia="Verdana" w:hAnsi="Verdana"/>
                <w:sz w:val="24"/>
                <w:szCs w:val="24"/>
              </w:rPr>
              <w:t>Q</w:t>
            </w:r>
            <w:r>
              <w:rPr>
                <w:rFonts w:ascii="Verdana" w:eastAsia="Verdana" w:hAnsi="Verdana"/>
                <w:sz w:val="24"/>
                <w:szCs w:val="24"/>
              </w:rPr>
              <w:t xml:space="preserve">uality </w:t>
            </w:r>
            <w:r w:rsidR="008B7D3E">
              <w:rPr>
                <w:rFonts w:ascii="Verdana" w:eastAsia="Verdana" w:hAnsi="Verdana"/>
                <w:sz w:val="24"/>
                <w:szCs w:val="24"/>
              </w:rPr>
              <w:t>and I</w:t>
            </w:r>
            <w:r>
              <w:rPr>
                <w:rFonts w:ascii="Verdana" w:eastAsia="Verdana" w:hAnsi="Verdana"/>
                <w:sz w:val="24"/>
                <w:szCs w:val="24"/>
              </w:rPr>
              <w:t xml:space="preserve">mprovement, and </w:t>
            </w:r>
            <w:r w:rsidR="008B7D3E">
              <w:rPr>
                <w:rFonts w:ascii="Verdana" w:eastAsia="Verdana" w:hAnsi="Verdana"/>
                <w:sz w:val="24"/>
                <w:szCs w:val="24"/>
              </w:rPr>
              <w:t>Service D</w:t>
            </w:r>
            <w:r>
              <w:rPr>
                <w:rFonts w:ascii="Verdana" w:eastAsia="Verdana" w:hAnsi="Verdana"/>
                <w:sz w:val="24"/>
                <w:szCs w:val="24"/>
              </w:rPr>
              <w:t>elivery</w:t>
            </w:r>
          </w:p>
          <w:p w14:paraId="4E0C6E8D" w14:textId="77777777" w:rsidR="0083723B" w:rsidRDefault="00AD3A69" w:rsidP="00B83427">
            <w:pPr>
              <w:pStyle w:val="ListParagraph"/>
              <w:numPr>
                <w:ilvl w:val="0"/>
                <w:numId w:val="11"/>
              </w:numPr>
              <w:spacing w:before="60"/>
              <w:ind w:left="714" w:hanging="357"/>
              <w:rPr>
                <w:rFonts w:ascii="Verdana" w:eastAsia="Verdana" w:hAnsi="Verdana"/>
                <w:sz w:val="24"/>
                <w:szCs w:val="24"/>
              </w:rPr>
            </w:pPr>
            <w:r w:rsidRPr="00AD3A69">
              <w:rPr>
                <w:rFonts w:ascii="Verdana" w:eastAsia="Verdana" w:hAnsi="Verdana"/>
                <w:i/>
                <w:sz w:val="24"/>
                <w:szCs w:val="24"/>
              </w:rPr>
              <w:t>Strategy</w:t>
            </w:r>
            <w:r w:rsidR="0007180F">
              <w:rPr>
                <w:rFonts w:ascii="Verdana" w:eastAsia="Verdana" w:hAnsi="Verdana"/>
                <w:i/>
                <w:sz w:val="24"/>
                <w:szCs w:val="24"/>
              </w:rPr>
              <w:t xml:space="preserve"> Delivery</w:t>
            </w:r>
            <w:r>
              <w:rPr>
                <w:rFonts w:ascii="Verdana" w:eastAsia="Verdana" w:hAnsi="Verdana"/>
                <w:sz w:val="24"/>
                <w:szCs w:val="24"/>
              </w:rPr>
              <w:t xml:space="preserve">; including progress against our IMTP </w:t>
            </w:r>
            <w:r w:rsidR="008B7D3E">
              <w:rPr>
                <w:rFonts w:ascii="Verdana" w:eastAsia="Verdana" w:hAnsi="Verdana"/>
                <w:sz w:val="24"/>
                <w:szCs w:val="24"/>
              </w:rPr>
              <w:t>M</w:t>
            </w:r>
            <w:r>
              <w:rPr>
                <w:rFonts w:ascii="Verdana" w:eastAsia="Verdana" w:hAnsi="Verdana"/>
                <w:sz w:val="24"/>
                <w:szCs w:val="24"/>
              </w:rPr>
              <w:t>ilestones</w:t>
            </w:r>
          </w:p>
          <w:p w14:paraId="4DF9EA05" w14:textId="77777777" w:rsidR="0083723B" w:rsidRPr="00CA0B1C" w:rsidRDefault="0083723B" w:rsidP="0083723B">
            <w:pPr>
              <w:rPr>
                <w:rFonts w:ascii="Verdana" w:eastAsia="Verdana" w:hAnsi="Verdana"/>
                <w:sz w:val="12"/>
                <w:szCs w:val="24"/>
              </w:rPr>
            </w:pPr>
          </w:p>
          <w:p w14:paraId="079390A5" w14:textId="77777777" w:rsidR="00887587" w:rsidRDefault="00E970F4" w:rsidP="00AD3A69">
            <w:pPr>
              <w:spacing w:before="60"/>
              <w:rPr>
                <w:rFonts w:ascii="Verdana" w:eastAsia="Verdana" w:hAnsi="Verdana"/>
                <w:sz w:val="24"/>
                <w:szCs w:val="24"/>
              </w:rPr>
            </w:pPr>
            <w:r>
              <w:rPr>
                <w:rFonts w:ascii="Verdana" w:eastAsia="Verdana" w:hAnsi="Verdana"/>
                <w:sz w:val="24"/>
                <w:szCs w:val="24"/>
              </w:rPr>
              <w:t>The report is designed to be read in conjunction with the Performance and Assurance Dashboard</w:t>
            </w:r>
            <w:r w:rsidR="00FB60D9">
              <w:rPr>
                <w:rFonts w:ascii="Verdana" w:eastAsia="Verdana" w:hAnsi="Verdana"/>
                <w:sz w:val="24"/>
                <w:szCs w:val="24"/>
              </w:rPr>
              <w:t>.</w:t>
            </w:r>
            <w:r>
              <w:rPr>
                <w:rFonts w:ascii="Verdana" w:eastAsia="Verdana" w:hAnsi="Verdana"/>
                <w:sz w:val="24"/>
                <w:szCs w:val="24"/>
              </w:rPr>
              <w:t xml:space="preserve"> </w:t>
            </w:r>
            <w:r w:rsidR="00AD3A69">
              <w:rPr>
                <w:rFonts w:ascii="Verdana" w:eastAsia="Verdana" w:hAnsi="Verdana"/>
                <w:sz w:val="24"/>
                <w:szCs w:val="24"/>
              </w:rPr>
              <w:t xml:space="preserve">Further </w:t>
            </w:r>
            <w:r w:rsidR="008B7D3E">
              <w:rPr>
                <w:rFonts w:ascii="Verdana" w:eastAsia="Verdana" w:hAnsi="Verdana"/>
                <w:sz w:val="24"/>
                <w:szCs w:val="24"/>
              </w:rPr>
              <w:t xml:space="preserve">planned </w:t>
            </w:r>
            <w:r w:rsidR="00AD3A69">
              <w:rPr>
                <w:rFonts w:ascii="Verdana" w:eastAsia="Verdana" w:hAnsi="Verdana"/>
                <w:sz w:val="24"/>
                <w:szCs w:val="24"/>
              </w:rPr>
              <w:t xml:space="preserve">developments to </w:t>
            </w:r>
            <w:r w:rsidR="008B7D3E">
              <w:rPr>
                <w:rFonts w:ascii="Verdana" w:eastAsia="Verdana" w:hAnsi="Verdana"/>
                <w:sz w:val="24"/>
                <w:szCs w:val="24"/>
              </w:rPr>
              <w:t xml:space="preserve">strengthen our governance arrangements and </w:t>
            </w:r>
            <w:r w:rsidR="00AD3A69">
              <w:rPr>
                <w:rFonts w:ascii="Verdana" w:eastAsia="Verdana" w:hAnsi="Verdana"/>
                <w:sz w:val="24"/>
                <w:szCs w:val="24"/>
              </w:rPr>
              <w:t xml:space="preserve">provide additional assurance </w:t>
            </w:r>
            <w:r w:rsidR="008B7D3E">
              <w:rPr>
                <w:rFonts w:ascii="Verdana" w:eastAsia="Verdana" w:hAnsi="Verdana"/>
                <w:sz w:val="24"/>
                <w:szCs w:val="24"/>
              </w:rPr>
              <w:t xml:space="preserve">to our Board </w:t>
            </w:r>
            <w:r w:rsidR="00AD3A69">
              <w:rPr>
                <w:rFonts w:ascii="Verdana" w:eastAsia="Verdana" w:hAnsi="Verdana"/>
                <w:sz w:val="24"/>
                <w:szCs w:val="24"/>
              </w:rPr>
              <w:t xml:space="preserve">are </w:t>
            </w:r>
            <w:r w:rsidR="002D2B15">
              <w:rPr>
                <w:rFonts w:ascii="Verdana" w:eastAsia="Verdana" w:hAnsi="Verdana"/>
                <w:sz w:val="24"/>
                <w:szCs w:val="24"/>
              </w:rPr>
              <w:t>set out in section 4.</w:t>
            </w:r>
          </w:p>
          <w:p w14:paraId="4320C0B7" w14:textId="77777777" w:rsidR="00AD3A69" w:rsidRPr="00AD3A69" w:rsidRDefault="00AD3A69" w:rsidP="00AD3A69">
            <w:pPr>
              <w:spacing w:before="60"/>
              <w:rPr>
                <w:rFonts w:ascii="Verdana" w:eastAsia="Verdana" w:hAnsi="Verdana"/>
                <w:sz w:val="12"/>
                <w:szCs w:val="24"/>
              </w:rPr>
            </w:pPr>
          </w:p>
        </w:tc>
      </w:tr>
      <w:tr w:rsidR="000A2ADC" w:rsidRPr="00AC7380" w14:paraId="6E1B4F9C" w14:textId="77777777" w:rsidTr="009B0876">
        <w:tc>
          <w:tcPr>
            <w:tcW w:w="9026" w:type="dxa"/>
            <w:gridSpan w:val="8"/>
            <w:tcBorders>
              <w:left w:val="nil"/>
              <w:right w:val="nil"/>
            </w:tcBorders>
          </w:tcPr>
          <w:p w14:paraId="14507814" w14:textId="77777777" w:rsidR="000A2ADC" w:rsidRPr="00AC7380" w:rsidRDefault="000A2ADC" w:rsidP="007344C2">
            <w:pPr>
              <w:rPr>
                <w:rFonts w:ascii="Verdana" w:hAnsi="Verdana"/>
                <w:b/>
                <w:sz w:val="12"/>
                <w:szCs w:val="12"/>
              </w:rPr>
            </w:pPr>
          </w:p>
        </w:tc>
      </w:tr>
      <w:tr w:rsidR="000A2ADC" w:rsidRPr="00AC7380" w14:paraId="69136505" w14:textId="77777777" w:rsidTr="009B0876">
        <w:tc>
          <w:tcPr>
            <w:tcW w:w="9026" w:type="dxa"/>
            <w:gridSpan w:val="8"/>
          </w:tcPr>
          <w:p w14:paraId="28CA044A" w14:textId="77777777" w:rsidR="000A2ADC" w:rsidRPr="00AC7380" w:rsidRDefault="000A2ADC" w:rsidP="007344C2">
            <w:pPr>
              <w:rPr>
                <w:rFonts w:ascii="Verdana" w:hAnsi="Verdana"/>
                <w:b/>
                <w:sz w:val="24"/>
                <w:szCs w:val="24"/>
              </w:rPr>
            </w:pPr>
            <w:r w:rsidRPr="00AC7380">
              <w:rPr>
                <w:rFonts w:ascii="Verdana" w:hAnsi="Verdana"/>
                <w:b/>
                <w:sz w:val="24"/>
                <w:szCs w:val="24"/>
              </w:rPr>
              <w:t>Recommendation:</w:t>
            </w:r>
          </w:p>
        </w:tc>
      </w:tr>
      <w:tr w:rsidR="000A2ADC" w:rsidRPr="00AC7380" w14:paraId="222FA9BB" w14:textId="77777777" w:rsidTr="009B0876">
        <w:tc>
          <w:tcPr>
            <w:tcW w:w="2348" w:type="dxa"/>
            <w:gridSpan w:val="2"/>
            <w:tcBorders>
              <w:bottom w:val="single" w:sz="4" w:space="0" w:color="auto"/>
            </w:tcBorders>
          </w:tcPr>
          <w:p w14:paraId="28175E5D" w14:textId="77777777" w:rsidR="000A2ADC" w:rsidRPr="00AC7380" w:rsidRDefault="000A2ADC" w:rsidP="007344C2">
            <w:pPr>
              <w:jc w:val="center"/>
              <w:rPr>
                <w:rFonts w:ascii="Verdana" w:hAnsi="Verdana"/>
                <w:sz w:val="24"/>
                <w:szCs w:val="24"/>
              </w:rPr>
            </w:pPr>
            <w:r w:rsidRPr="00AC7380">
              <w:rPr>
                <w:rFonts w:ascii="Verdana" w:hAnsi="Verdana"/>
                <w:sz w:val="24"/>
                <w:szCs w:val="24"/>
              </w:rPr>
              <w:t>APPROVE</w:t>
            </w:r>
          </w:p>
          <w:p w14:paraId="238BDEB1" w14:textId="77777777" w:rsidR="000A2ADC" w:rsidRPr="00AC7380" w:rsidRDefault="0065340E" w:rsidP="007344C2">
            <w:pPr>
              <w:jc w:val="center"/>
              <w:rPr>
                <w:rFonts w:ascii="Wingdings" w:hAnsi="Wingdings"/>
                <w:sz w:val="24"/>
                <w:szCs w:val="24"/>
              </w:rPr>
            </w:pPr>
            <w:r>
              <w:rPr>
                <w:rFonts w:ascii="Wingdings" w:hAnsi="Wingdings"/>
                <w:sz w:val="24"/>
                <w:szCs w:val="24"/>
              </w:rPr>
              <w:fldChar w:fldCharType="begin">
                <w:ffData>
                  <w:name w:val="Check1"/>
                  <w:enabled/>
                  <w:calcOnExit w:val="0"/>
                  <w:checkBox>
                    <w:sizeAuto/>
                    <w:default w:val="0"/>
                  </w:checkBox>
                </w:ffData>
              </w:fldChar>
            </w:r>
            <w:bookmarkStart w:id="0" w:name="Check1"/>
            <w:r>
              <w:rPr>
                <w:rFonts w:ascii="Wingdings" w:hAnsi="Wingdings"/>
                <w:sz w:val="24"/>
                <w:szCs w:val="24"/>
              </w:rPr>
              <w:instrText xml:space="preserve"> FORMCHECKBOX </w:instrText>
            </w:r>
            <w:r w:rsidR="00D3332F">
              <w:rPr>
                <w:rFonts w:ascii="Wingdings" w:hAnsi="Wingdings"/>
                <w:sz w:val="24"/>
                <w:szCs w:val="24"/>
              </w:rPr>
            </w:r>
            <w:r w:rsidR="00D3332F">
              <w:rPr>
                <w:rFonts w:ascii="Wingdings" w:hAnsi="Wingdings"/>
                <w:sz w:val="24"/>
                <w:szCs w:val="24"/>
              </w:rPr>
              <w:fldChar w:fldCharType="separate"/>
            </w:r>
            <w:r>
              <w:rPr>
                <w:rFonts w:ascii="Wingdings" w:hAnsi="Wingdings"/>
                <w:sz w:val="24"/>
                <w:szCs w:val="24"/>
              </w:rPr>
              <w:fldChar w:fldCharType="end"/>
            </w:r>
            <w:bookmarkEnd w:id="0"/>
          </w:p>
        </w:tc>
        <w:tc>
          <w:tcPr>
            <w:tcW w:w="1994" w:type="dxa"/>
            <w:gridSpan w:val="2"/>
            <w:tcBorders>
              <w:bottom w:val="single" w:sz="4" w:space="0" w:color="auto"/>
            </w:tcBorders>
          </w:tcPr>
          <w:p w14:paraId="47EAFC06" w14:textId="77777777" w:rsidR="000A2ADC" w:rsidRPr="00AC7380" w:rsidRDefault="000A2ADC" w:rsidP="007344C2">
            <w:pPr>
              <w:jc w:val="center"/>
              <w:rPr>
                <w:rFonts w:ascii="Verdana" w:hAnsi="Verdana"/>
                <w:sz w:val="24"/>
                <w:szCs w:val="24"/>
              </w:rPr>
            </w:pPr>
            <w:r w:rsidRPr="00AC7380">
              <w:rPr>
                <w:rFonts w:ascii="Verdana" w:hAnsi="Verdana"/>
                <w:sz w:val="24"/>
                <w:szCs w:val="24"/>
              </w:rPr>
              <w:t>CONSIDER</w:t>
            </w:r>
          </w:p>
          <w:p w14:paraId="1CD35636" w14:textId="77777777" w:rsidR="000A2ADC" w:rsidRPr="00AC7380" w:rsidRDefault="005B72D4" w:rsidP="007344C2">
            <w:pPr>
              <w:jc w:val="center"/>
              <w:rPr>
                <w:rFonts w:ascii="Verdana" w:hAnsi="Verdana"/>
                <w:sz w:val="24"/>
                <w:szCs w:val="24"/>
              </w:rPr>
            </w:pPr>
            <w:r>
              <w:rPr>
                <w:rFonts w:ascii="Verdana" w:hAnsi="Verdana"/>
                <w:sz w:val="24"/>
                <w:szCs w:val="24"/>
              </w:rPr>
              <w:fldChar w:fldCharType="begin">
                <w:ffData>
                  <w:name w:val="Check2"/>
                  <w:enabled/>
                  <w:calcOnExit w:val="0"/>
                  <w:checkBox>
                    <w:sizeAuto/>
                    <w:default w:val="1"/>
                  </w:checkBox>
                </w:ffData>
              </w:fldChar>
            </w:r>
            <w:bookmarkStart w:id="1" w:name="Check2"/>
            <w:r>
              <w:rPr>
                <w:rFonts w:ascii="Verdana" w:hAnsi="Verdana"/>
                <w:sz w:val="24"/>
                <w:szCs w:val="24"/>
              </w:rPr>
              <w:instrText xml:space="preserve"> FORMCHECKBOX </w:instrText>
            </w:r>
            <w:r w:rsidR="00D3332F">
              <w:rPr>
                <w:rFonts w:ascii="Verdana" w:hAnsi="Verdana"/>
                <w:sz w:val="24"/>
                <w:szCs w:val="24"/>
              </w:rPr>
            </w:r>
            <w:r w:rsidR="00D3332F">
              <w:rPr>
                <w:rFonts w:ascii="Verdana" w:hAnsi="Verdana"/>
                <w:sz w:val="24"/>
                <w:szCs w:val="24"/>
              </w:rPr>
              <w:fldChar w:fldCharType="separate"/>
            </w:r>
            <w:r>
              <w:rPr>
                <w:rFonts w:ascii="Verdana" w:hAnsi="Verdana"/>
                <w:sz w:val="24"/>
                <w:szCs w:val="24"/>
              </w:rPr>
              <w:fldChar w:fldCharType="end"/>
            </w:r>
            <w:bookmarkEnd w:id="1"/>
          </w:p>
        </w:tc>
        <w:tc>
          <w:tcPr>
            <w:tcW w:w="1816" w:type="dxa"/>
            <w:gridSpan w:val="2"/>
            <w:tcBorders>
              <w:bottom w:val="single" w:sz="4" w:space="0" w:color="auto"/>
            </w:tcBorders>
          </w:tcPr>
          <w:p w14:paraId="729F1BE6" w14:textId="77777777" w:rsidR="000A2ADC" w:rsidRPr="00AC7380" w:rsidRDefault="000A2ADC" w:rsidP="007344C2">
            <w:pPr>
              <w:jc w:val="center"/>
              <w:rPr>
                <w:rFonts w:ascii="Verdana" w:hAnsi="Verdana"/>
                <w:sz w:val="24"/>
                <w:szCs w:val="24"/>
              </w:rPr>
            </w:pPr>
            <w:r w:rsidRPr="00AC7380">
              <w:rPr>
                <w:rFonts w:ascii="Verdana" w:hAnsi="Verdana"/>
                <w:sz w:val="24"/>
                <w:szCs w:val="24"/>
              </w:rPr>
              <w:t>RECOMMEND</w:t>
            </w:r>
          </w:p>
          <w:p w14:paraId="5CFE2EEE" w14:textId="77777777"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3"/>
                  <w:enabled/>
                  <w:calcOnExit w:val="0"/>
                  <w:checkBox>
                    <w:sizeAuto/>
                    <w:default w:val="0"/>
                  </w:checkBox>
                </w:ffData>
              </w:fldChar>
            </w:r>
            <w:bookmarkStart w:id="2" w:name="Check3"/>
            <w:r w:rsidRPr="00AC7380">
              <w:rPr>
                <w:rFonts w:ascii="Verdana" w:hAnsi="Verdana"/>
                <w:sz w:val="24"/>
                <w:szCs w:val="24"/>
              </w:rPr>
              <w:instrText xml:space="preserve"> FORMCHECKBOX </w:instrText>
            </w:r>
            <w:r w:rsidR="00D3332F">
              <w:rPr>
                <w:rFonts w:ascii="Verdana" w:hAnsi="Verdana"/>
                <w:sz w:val="24"/>
                <w:szCs w:val="24"/>
              </w:rPr>
            </w:r>
            <w:r w:rsidR="00D3332F">
              <w:rPr>
                <w:rFonts w:ascii="Verdana" w:hAnsi="Verdana"/>
                <w:sz w:val="24"/>
                <w:szCs w:val="24"/>
              </w:rPr>
              <w:fldChar w:fldCharType="separate"/>
            </w:r>
            <w:r w:rsidRPr="00AC7380">
              <w:rPr>
                <w:rFonts w:ascii="Verdana" w:hAnsi="Verdana"/>
                <w:sz w:val="24"/>
                <w:szCs w:val="24"/>
              </w:rPr>
              <w:fldChar w:fldCharType="end"/>
            </w:r>
            <w:bookmarkEnd w:id="2"/>
          </w:p>
        </w:tc>
        <w:tc>
          <w:tcPr>
            <w:tcW w:w="1137" w:type="dxa"/>
            <w:tcBorders>
              <w:bottom w:val="single" w:sz="4" w:space="0" w:color="auto"/>
            </w:tcBorders>
          </w:tcPr>
          <w:p w14:paraId="1E5B3B5A" w14:textId="77777777" w:rsidR="000A2ADC" w:rsidRPr="00AC7380" w:rsidRDefault="000A2ADC" w:rsidP="007344C2">
            <w:pPr>
              <w:jc w:val="center"/>
              <w:rPr>
                <w:rFonts w:ascii="Verdana" w:hAnsi="Verdana"/>
                <w:sz w:val="24"/>
                <w:szCs w:val="24"/>
              </w:rPr>
            </w:pPr>
            <w:r w:rsidRPr="00AC7380">
              <w:rPr>
                <w:rFonts w:ascii="Verdana" w:hAnsi="Verdana"/>
                <w:sz w:val="24"/>
                <w:szCs w:val="24"/>
              </w:rPr>
              <w:t>ADOPT</w:t>
            </w:r>
          </w:p>
          <w:p w14:paraId="2D00ABD6" w14:textId="77777777"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4"/>
                  <w:enabled/>
                  <w:calcOnExit w:val="0"/>
                  <w:checkBox>
                    <w:sizeAuto/>
                    <w:default w:val="0"/>
                  </w:checkBox>
                </w:ffData>
              </w:fldChar>
            </w:r>
            <w:bookmarkStart w:id="3" w:name="Check4"/>
            <w:r w:rsidRPr="00AC7380">
              <w:rPr>
                <w:rFonts w:ascii="Verdana" w:hAnsi="Verdana"/>
                <w:sz w:val="24"/>
                <w:szCs w:val="24"/>
              </w:rPr>
              <w:instrText xml:space="preserve"> FORMCHECKBOX </w:instrText>
            </w:r>
            <w:r w:rsidR="00D3332F">
              <w:rPr>
                <w:rFonts w:ascii="Verdana" w:hAnsi="Verdana"/>
                <w:sz w:val="24"/>
                <w:szCs w:val="24"/>
              </w:rPr>
            </w:r>
            <w:r w:rsidR="00D3332F">
              <w:rPr>
                <w:rFonts w:ascii="Verdana" w:hAnsi="Verdana"/>
                <w:sz w:val="24"/>
                <w:szCs w:val="24"/>
              </w:rPr>
              <w:fldChar w:fldCharType="separate"/>
            </w:r>
            <w:r w:rsidRPr="00AC7380">
              <w:rPr>
                <w:rFonts w:ascii="Verdana" w:hAnsi="Verdana"/>
                <w:sz w:val="24"/>
                <w:szCs w:val="24"/>
              </w:rPr>
              <w:fldChar w:fldCharType="end"/>
            </w:r>
            <w:bookmarkEnd w:id="3"/>
          </w:p>
        </w:tc>
        <w:tc>
          <w:tcPr>
            <w:tcW w:w="1731" w:type="dxa"/>
            <w:tcBorders>
              <w:bottom w:val="single" w:sz="4" w:space="0" w:color="auto"/>
            </w:tcBorders>
          </w:tcPr>
          <w:p w14:paraId="0DCCF6CE" w14:textId="77777777" w:rsidR="000A2ADC" w:rsidRPr="00AC7380" w:rsidRDefault="000A2ADC" w:rsidP="007344C2">
            <w:pPr>
              <w:jc w:val="center"/>
              <w:rPr>
                <w:rFonts w:ascii="Verdana" w:hAnsi="Verdana"/>
                <w:sz w:val="24"/>
                <w:szCs w:val="24"/>
              </w:rPr>
            </w:pPr>
            <w:r w:rsidRPr="00AC7380">
              <w:rPr>
                <w:rFonts w:ascii="Verdana" w:hAnsi="Verdana"/>
                <w:sz w:val="24"/>
                <w:szCs w:val="24"/>
              </w:rPr>
              <w:t>ASSURANCE</w:t>
            </w:r>
          </w:p>
          <w:p w14:paraId="0B24E9F2" w14:textId="77777777" w:rsidR="000A2ADC" w:rsidRPr="00AC7380" w:rsidRDefault="000A2ADC" w:rsidP="007344C2">
            <w:pPr>
              <w:jc w:val="center"/>
              <w:rPr>
                <w:rFonts w:ascii="Verdana" w:hAnsi="Verdana"/>
                <w:sz w:val="24"/>
                <w:szCs w:val="24"/>
              </w:rPr>
            </w:pPr>
            <w:r>
              <w:rPr>
                <w:rFonts w:ascii="Verdana" w:hAnsi="Verdana"/>
                <w:sz w:val="24"/>
                <w:szCs w:val="24"/>
              </w:rPr>
              <w:fldChar w:fldCharType="begin">
                <w:ffData>
                  <w:name w:val="Check5"/>
                  <w:enabled/>
                  <w:calcOnExit w:val="0"/>
                  <w:checkBox>
                    <w:sizeAuto/>
                    <w:default w:val="1"/>
                  </w:checkBox>
                </w:ffData>
              </w:fldChar>
            </w:r>
            <w:bookmarkStart w:id="4" w:name="Check5"/>
            <w:r>
              <w:rPr>
                <w:rFonts w:ascii="Verdana" w:hAnsi="Verdana"/>
                <w:sz w:val="24"/>
                <w:szCs w:val="24"/>
              </w:rPr>
              <w:instrText xml:space="preserve"> FORMCHECKBOX </w:instrText>
            </w:r>
            <w:r w:rsidR="00D3332F">
              <w:rPr>
                <w:rFonts w:ascii="Verdana" w:hAnsi="Verdana"/>
                <w:sz w:val="24"/>
                <w:szCs w:val="24"/>
              </w:rPr>
            </w:r>
            <w:r w:rsidR="00D3332F">
              <w:rPr>
                <w:rFonts w:ascii="Verdana" w:hAnsi="Verdana"/>
                <w:sz w:val="24"/>
                <w:szCs w:val="24"/>
              </w:rPr>
              <w:fldChar w:fldCharType="separate"/>
            </w:r>
            <w:r>
              <w:rPr>
                <w:rFonts w:ascii="Verdana" w:hAnsi="Verdana"/>
                <w:sz w:val="24"/>
                <w:szCs w:val="24"/>
              </w:rPr>
              <w:fldChar w:fldCharType="end"/>
            </w:r>
            <w:bookmarkEnd w:id="4"/>
          </w:p>
        </w:tc>
      </w:tr>
      <w:tr w:rsidR="000A2ADC" w:rsidRPr="00AC7380" w14:paraId="015BB2EF" w14:textId="77777777" w:rsidTr="009B0876">
        <w:tc>
          <w:tcPr>
            <w:tcW w:w="9026" w:type="dxa"/>
            <w:gridSpan w:val="8"/>
            <w:tcBorders>
              <w:bottom w:val="single" w:sz="4" w:space="0" w:color="auto"/>
            </w:tcBorders>
          </w:tcPr>
          <w:p w14:paraId="198F22FC" w14:textId="77777777" w:rsidR="000A2ADC" w:rsidRDefault="000A2ADC" w:rsidP="007344C2">
            <w:pPr>
              <w:rPr>
                <w:rFonts w:ascii="Verdana" w:hAnsi="Verdana"/>
                <w:sz w:val="24"/>
                <w:szCs w:val="24"/>
              </w:rPr>
            </w:pPr>
            <w:r w:rsidRPr="00AC7380">
              <w:rPr>
                <w:rFonts w:ascii="Verdana" w:hAnsi="Verdana"/>
                <w:sz w:val="24"/>
                <w:szCs w:val="24"/>
              </w:rPr>
              <w:t xml:space="preserve">The Board is asked to: </w:t>
            </w:r>
          </w:p>
          <w:p w14:paraId="233DCBEE" w14:textId="77777777" w:rsidR="004C092E" w:rsidRPr="00423278" w:rsidRDefault="004C092E" w:rsidP="007344C2">
            <w:pPr>
              <w:rPr>
                <w:rFonts w:ascii="Verdana" w:hAnsi="Verdana"/>
                <w:sz w:val="8"/>
                <w:szCs w:val="24"/>
              </w:rPr>
            </w:pPr>
          </w:p>
          <w:p w14:paraId="14C52DA6" w14:textId="77777777" w:rsidR="00FB60D9" w:rsidRDefault="000A2ADC" w:rsidP="00FB60D9">
            <w:pPr>
              <w:numPr>
                <w:ilvl w:val="0"/>
                <w:numId w:val="2"/>
              </w:numPr>
              <w:ind w:left="851" w:hanging="567"/>
              <w:contextualSpacing/>
              <w:rPr>
                <w:rFonts w:ascii="Verdana" w:hAnsi="Verdana"/>
                <w:sz w:val="24"/>
                <w:szCs w:val="24"/>
              </w:rPr>
            </w:pPr>
            <w:r w:rsidRPr="00365579">
              <w:rPr>
                <w:rFonts w:ascii="Verdana" w:hAnsi="Verdana"/>
                <w:b/>
                <w:sz w:val="24"/>
                <w:szCs w:val="24"/>
              </w:rPr>
              <w:t xml:space="preserve">Discuss </w:t>
            </w:r>
            <w:r w:rsidR="00603EE9">
              <w:rPr>
                <w:rFonts w:ascii="Verdana" w:hAnsi="Verdana"/>
                <w:sz w:val="24"/>
                <w:szCs w:val="24"/>
              </w:rPr>
              <w:t xml:space="preserve">and scrutinise the paper </w:t>
            </w:r>
            <w:r w:rsidRPr="00365579">
              <w:rPr>
                <w:rFonts w:ascii="Verdana" w:hAnsi="Verdana"/>
                <w:sz w:val="24"/>
                <w:szCs w:val="24"/>
              </w:rPr>
              <w:t>and provide feedback and comments</w:t>
            </w:r>
            <w:r w:rsidR="00E25CF9">
              <w:rPr>
                <w:rFonts w:ascii="Verdana" w:hAnsi="Verdana"/>
                <w:sz w:val="24"/>
                <w:szCs w:val="24"/>
              </w:rPr>
              <w:t>.</w:t>
            </w:r>
          </w:p>
          <w:p w14:paraId="6B74F804" w14:textId="77777777" w:rsidR="008B7D3E" w:rsidRPr="008B7D3E" w:rsidRDefault="008B7D3E" w:rsidP="008B7D3E">
            <w:pPr>
              <w:ind w:left="851"/>
              <w:contextualSpacing/>
              <w:rPr>
                <w:rFonts w:ascii="Verdana" w:hAnsi="Verdana"/>
                <w:sz w:val="24"/>
                <w:szCs w:val="24"/>
              </w:rPr>
            </w:pPr>
          </w:p>
        </w:tc>
      </w:tr>
      <w:tr w:rsidR="000A2ADC" w:rsidRPr="00AC7380" w14:paraId="054C52CC" w14:textId="77777777" w:rsidTr="00A91FD8">
        <w:tc>
          <w:tcPr>
            <w:tcW w:w="9026" w:type="dxa"/>
            <w:gridSpan w:val="8"/>
            <w:tcBorders>
              <w:left w:val="nil"/>
              <w:right w:val="nil"/>
            </w:tcBorders>
            <w:shd w:val="clear" w:color="auto" w:fill="auto"/>
          </w:tcPr>
          <w:p w14:paraId="35EC2981" w14:textId="77777777" w:rsidR="000A2ADC" w:rsidRDefault="000A2ADC" w:rsidP="007344C2">
            <w:pPr>
              <w:rPr>
                <w:rFonts w:ascii="Verdana" w:hAnsi="Verdana"/>
                <w:b/>
                <w:sz w:val="12"/>
                <w:szCs w:val="12"/>
              </w:rPr>
            </w:pPr>
          </w:p>
          <w:p w14:paraId="400119EC" w14:textId="77777777" w:rsidR="00A91FD8" w:rsidRPr="00AC7380" w:rsidRDefault="00A91FD8" w:rsidP="007344C2">
            <w:pPr>
              <w:rPr>
                <w:rFonts w:ascii="Verdana" w:hAnsi="Verdana"/>
                <w:b/>
                <w:sz w:val="12"/>
                <w:szCs w:val="12"/>
              </w:rPr>
            </w:pPr>
          </w:p>
        </w:tc>
      </w:tr>
      <w:tr w:rsidR="000A2ADC" w:rsidRPr="00AC7380" w14:paraId="6422DFFC" w14:textId="77777777" w:rsidTr="00A91FD8">
        <w:tc>
          <w:tcPr>
            <w:tcW w:w="9026" w:type="dxa"/>
            <w:gridSpan w:val="8"/>
            <w:shd w:val="clear" w:color="auto" w:fill="F2F2F2" w:themeFill="background1" w:themeFillShade="F2"/>
          </w:tcPr>
          <w:p w14:paraId="5C110A57" w14:textId="77777777" w:rsidR="000A2ADC" w:rsidRPr="00AC7380" w:rsidRDefault="000A2ADC" w:rsidP="007344C2">
            <w:pPr>
              <w:rPr>
                <w:rFonts w:ascii="Verdana" w:hAnsi="Verdana"/>
                <w:sz w:val="24"/>
                <w:szCs w:val="24"/>
              </w:rPr>
            </w:pPr>
            <w:r w:rsidRPr="00AC7380">
              <w:rPr>
                <w:rFonts w:ascii="Verdana" w:hAnsi="Verdana"/>
                <w:b/>
                <w:sz w:val="24"/>
                <w:szCs w:val="24"/>
              </w:rPr>
              <w:t xml:space="preserve">Link to Public Health Wales </w:t>
            </w:r>
            <w:hyperlink r:id="rId9" w:history="1">
              <w:r w:rsidRPr="00AC7380">
                <w:rPr>
                  <w:rFonts w:ascii="Verdana" w:hAnsi="Verdana"/>
                  <w:b/>
                  <w:color w:val="0000FF" w:themeColor="hyperlink"/>
                  <w:sz w:val="24"/>
                  <w:szCs w:val="24"/>
                  <w:u w:val="single"/>
                </w:rPr>
                <w:t>Strategic Plan</w:t>
              </w:r>
            </w:hyperlink>
          </w:p>
          <w:p w14:paraId="14C68838" w14:textId="77777777" w:rsidR="000A2ADC" w:rsidRPr="00AC7380" w:rsidRDefault="000A2ADC" w:rsidP="007344C2">
            <w:pPr>
              <w:rPr>
                <w:rFonts w:ascii="Verdana" w:hAnsi="Verdana"/>
                <w:sz w:val="24"/>
                <w:szCs w:val="24"/>
              </w:rPr>
            </w:pPr>
          </w:p>
          <w:p w14:paraId="1F64934E" w14:textId="77777777" w:rsidR="000A2ADC" w:rsidRPr="00AC7380" w:rsidRDefault="000A2ADC" w:rsidP="007344C2">
            <w:pPr>
              <w:rPr>
                <w:rFonts w:ascii="Verdana" w:hAnsi="Verdana"/>
                <w:sz w:val="24"/>
                <w:szCs w:val="24"/>
              </w:rPr>
            </w:pPr>
            <w:r w:rsidRPr="00AC7380">
              <w:rPr>
                <w:rFonts w:ascii="Verdana" w:hAnsi="Verdana"/>
                <w:sz w:val="24"/>
                <w:szCs w:val="24"/>
              </w:rPr>
              <w:t xml:space="preserve">Public Health Wales has an agreed strategic plan, which has identified seven strategic priorities and well-being objectives.  </w:t>
            </w:r>
          </w:p>
          <w:p w14:paraId="7073CB55" w14:textId="77777777" w:rsidR="000A2ADC" w:rsidRPr="00AC7380" w:rsidRDefault="000A2ADC" w:rsidP="007344C2">
            <w:pPr>
              <w:rPr>
                <w:rFonts w:ascii="Verdana" w:hAnsi="Verdana"/>
                <w:sz w:val="24"/>
                <w:szCs w:val="24"/>
              </w:rPr>
            </w:pPr>
          </w:p>
          <w:p w14:paraId="254C7E55" w14:textId="77777777" w:rsidR="000A2ADC" w:rsidRPr="00AC7380" w:rsidRDefault="000A2ADC" w:rsidP="007344C2">
            <w:pPr>
              <w:rPr>
                <w:rFonts w:ascii="Verdana" w:eastAsia="Verdana" w:hAnsi="Verdana"/>
                <w:sz w:val="24"/>
                <w:szCs w:val="24"/>
              </w:rPr>
            </w:pPr>
            <w:r w:rsidRPr="00AC7380">
              <w:rPr>
                <w:rFonts w:ascii="Verdana" w:eastAsia="Verdana" w:hAnsi="Verdana"/>
                <w:sz w:val="24"/>
                <w:szCs w:val="24"/>
              </w:rPr>
              <w:t>In order for Pu</w:t>
            </w:r>
            <w:r w:rsidR="00531AA6">
              <w:rPr>
                <w:rFonts w:ascii="Verdana" w:eastAsia="Verdana" w:hAnsi="Verdana"/>
                <w:sz w:val="24"/>
                <w:szCs w:val="24"/>
              </w:rPr>
              <w:t>b</w:t>
            </w:r>
            <w:r w:rsidR="007A5F6D">
              <w:rPr>
                <w:rFonts w:ascii="Verdana" w:eastAsia="Verdana" w:hAnsi="Verdana"/>
                <w:sz w:val="24"/>
                <w:szCs w:val="24"/>
              </w:rPr>
              <w:t>lic Health Wales to deliver the</w:t>
            </w:r>
            <w:r w:rsidRPr="00AC7380">
              <w:rPr>
                <w:rFonts w:ascii="Verdana" w:eastAsia="Verdana" w:hAnsi="Verdana"/>
                <w:sz w:val="24"/>
                <w:szCs w:val="24"/>
              </w:rPr>
              <w:t xml:space="preserve"> strategic plan, effective performance management arrangements need to be in place to monitor and report on progress against achieving our strategic priorities to improve health outcomes. This intelligence is used to draw the Board’s attention to areas of underperformance and is fundamental for effective and efficient decision making.</w:t>
            </w:r>
          </w:p>
          <w:p w14:paraId="02973F80" w14:textId="77777777" w:rsidR="000A2ADC" w:rsidRPr="00AC7380" w:rsidRDefault="000A2ADC" w:rsidP="007344C2">
            <w:pPr>
              <w:rPr>
                <w:rFonts w:ascii="Verdana" w:hAnsi="Verdana"/>
                <w:bCs/>
                <w:sz w:val="24"/>
                <w:szCs w:val="24"/>
              </w:rPr>
            </w:pPr>
          </w:p>
          <w:p w14:paraId="7F6BC2F3" w14:textId="77777777" w:rsidR="000A2ADC" w:rsidRPr="00AC7380" w:rsidRDefault="000A2ADC" w:rsidP="007344C2">
            <w:pPr>
              <w:rPr>
                <w:rFonts w:ascii="Verdana" w:hAnsi="Verdana"/>
                <w:sz w:val="24"/>
                <w:szCs w:val="24"/>
              </w:rPr>
            </w:pPr>
            <w:r w:rsidRPr="00AC7380">
              <w:rPr>
                <w:rFonts w:ascii="Verdana" w:hAnsi="Verdana"/>
                <w:sz w:val="24"/>
                <w:szCs w:val="24"/>
              </w:rPr>
              <w:t>This report contributes to the following:</w:t>
            </w:r>
          </w:p>
        </w:tc>
      </w:tr>
      <w:tr w:rsidR="000A2ADC" w:rsidRPr="00AC7380" w14:paraId="1B4AFA46" w14:textId="77777777" w:rsidTr="009B0876">
        <w:tc>
          <w:tcPr>
            <w:tcW w:w="3838" w:type="dxa"/>
            <w:gridSpan w:val="3"/>
            <w:shd w:val="clear" w:color="auto" w:fill="auto"/>
          </w:tcPr>
          <w:p w14:paraId="28F7B31F" w14:textId="77777777" w:rsidR="000A2ADC" w:rsidRPr="00AC7380" w:rsidRDefault="000A2ADC" w:rsidP="007344C2">
            <w:pPr>
              <w:rPr>
                <w:rFonts w:ascii="Verdana" w:hAnsi="Verdana"/>
                <w:b/>
                <w:sz w:val="24"/>
                <w:szCs w:val="24"/>
              </w:rPr>
            </w:pPr>
            <w:r w:rsidRPr="00AC7380">
              <w:rPr>
                <w:rFonts w:ascii="Verdana" w:hAnsi="Verdana"/>
                <w:b/>
                <w:sz w:val="24"/>
                <w:szCs w:val="24"/>
              </w:rPr>
              <w:t>Strategic Priority/Well-being Objective</w:t>
            </w:r>
          </w:p>
        </w:tc>
        <w:tc>
          <w:tcPr>
            <w:tcW w:w="5188" w:type="dxa"/>
            <w:gridSpan w:val="5"/>
            <w:shd w:val="clear" w:color="auto" w:fill="auto"/>
          </w:tcPr>
          <w:p w14:paraId="419F674E" w14:textId="77777777" w:rsidR="000A2ADC" w:rsidRPr="00AC7380" w:rsidRDefault="00D3332F" w:rsidP="007344C2">
            <w:pPr>
              <w:rPr>
                <w:rFonts w:ascii="Verdana" w:hAnsi="Verdana"/>
                <w:sz w:val="24"/>
                <w:szCs w:val="24"/>
              </w:rPr>
            </w:pPr>
            <w:sdt>
              <w:sdtPr>
                <w:rPr>
                  <w:rFonts w:ascii="Verdana" w:hAnsi="Verdana"/>
                  <w:szCs w:val="24"/>
                </w:rPr>
                <w:alias w:val="Strategic Objective"/>
                <w:tag w:val="Strategic Objective"/>
                <w:id w:val="1886465"/>
                <w:placeholder>
                  <w:docPart w:val="D178AE7801394721A436DF684BE50CBB"/>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sdtContent>
                <w:r w:rsidR="000A2ADC" w:rsidRPr="00AC7380">
                  <w:rPr>
                    <w:rFonts w:ascii="Verdana" w:hAnsi="Verdana"/>
                    <w:szCs w:val="24"/>
                  </w:rPr>
                  <w:t>All Strategic Priorities/Well-being Objectives</w:t>
                </w:r>
              </w:sdtContent>
            </w:sdt>
          </w:p>
        </w:tc>
      </w:tr>
      <w:tr w:rsidR="000A2ADC" w:rsidRPr="00AC7380" w14:paraId="32F866C6" w14:textId="77777777" w:rsidTr="00A91FD8">
        <w:tc>
          <w:tcPr>
            <w:tcW w:w="9026" w:type="dxa"/>
            <w:gridSpan w:val="8"/>
            <w:tcBorders>
              <w:left w:val="nil"/>
              <w:right w:val="nil"/>
            </w:tcBorders>
            <w:shd w:val="clear" w:color="auto" w:fill="auto"/>
          </w:tcPr>
          <w:p w14:paraId="2670083A" w14:textId="77777777" w:rsidR="000A2ADC" w:rsidRPr="00AC7380" w:rsidRDefault="000A2ADC" w:rsidP="007344C2">
            <w:pPr>
              <w:rPr>
                <w:rFonts w:ascii="Verdana" w:hAnsi="Verdana"/>
                <w:b/>
                <w:sz w:val="12"/>
                <w:szCs w:val="12"/>
              </w:rPr>
            </w:pPr>
          </w:p>
        </w:tc>
      </w:tr>
      <w:tr w:rsidR="000A2ADC" w:rsidRPr="00AC7380" w14:paraId="7A8DC160" w14:textId="77777777" w:rsidTr="00A91FD8">
        <w:tc>
          <w:tcPr>
            <w:tcW w:w="9026" w:type="dxa"/>
            <w:gridSpan w:val="8"/>
            <w:shd w:val="clear" w:color="auto" w:fill="F2F2F2" w:themeFill="background1" w:themeFillShade="F2"/>
          </w:tcPr>
          <w:p w14:paraId="7E8B7B43" w14:textId="77777777" w:rsidR="000A2ADC" w:rsidRPr="00AC7380" w:rsidRDefault="000A2ADC" w:rsidP="007344C2">
            <w:pPr>
              <w:rPr>
                <w:rFonts w:ascii="Verdana" w:hAnsi="Verdana"/>
                <w:i/>
                <w:color w:val="FF0000"/>
                <w:sz w:val="24"/>
                <w:szCs w:val="24"/>
              </w:rPr>
            </w:pPr>
            <w:r w:rsidRPr="00AC7380">
              <w:rPr>
                <w:rFonts w:ascii="Verdana" w:hAnsi="Verdana"/>
                <w:b/>
                <w:sz w:val="24"/>
                <w:szCs w:val="24"/>
              </w:rPr>
              <w:t xml:space="preserve">Summary impact analysis </w:t>
            </w:r>
            <w:r w:rsidRPr="00AC7380">
              <w:rPr>
                <w:rFonts w:ascii="Verdana" w:hAnsi="Verdana"/>
                <w:i/>
                <w:color w:val="FF0000"/>
                <w:sz w:val="24"/>
                <w:szCs w:val="24"/>
              </w:rPr>
              <w:t xml:space="preserve"> </w:t>
            </w:r>
          </w:p>
          <w:p w14:paraId="4804C887" w14:textId="77777777" w:rsidR="000A2ADC" w:rsidRPr="00AC7380" w:rsidRDefault="000A2ADC" w:rsidP="007344C2">
            <w:pPr>
              <w:rPr>
                <w:rFonts w:ascii="Verdana" w:hAnsi="Verdana"/>
                <w:color w:val="FF0000"/>
                <w:sz w:val="24"/>
                <w:szCs w:val="24"/>
              </w:rPr>
            </w:pPr>
          </w:p>
        </w:tc>
      </w:tr>
      <w:tr w:rsidR="000A2ADC" w:rsidRPr="00AC7380" w14:paraId="02B107ED" w14:textId="77777777" w:rsidTr="009B0876">
        <w:tc>
          <w:tcPr>
            <w:tcW w:w="3838" w:type="dxa"/>
            <w:gridSpan w:val="3"/>
          </w:tcPr>
          <w:p w14:paraId="2B407404" w14:textId="77777777" w:rsidR="000A2ADC" w:rsidRPr="00AC7380" w:rsidRDefault="000A2ADC" w:rsidP="007344C2">
            <w:pPr>
              <w:rPr>
                <w:rFonts w:ascii="Verdana" w:hAnsi="Verdana"/>
                <w:b/>
                <w:sz w:val="24"/>
                <w:szCs w:val="24"/>
              </w:rPr>
            </w:pPr>
            <w:r w:rsidRPr="00AC7380">
              <w:rPr>
                <w:rFonts w:ascii="Verdana" w:hAnsi="Verdana"/>
                <w:b/>
                <w:sz w:val="24"/>
                <w:szCs w:val="24"/>
              </w:rPr>
              <w:t>Equality and Health Impact Assessment</w:t>
            </w:r>
          </w:p>
        </w:tc>
        <w:tc>
          <w:tcPr>
            <w:tcW w:w="5188" w:type="dxa"/>
            <w:gridSpan w:val="5"/>
          </w:tcPr>
          <w:p w14:paraId="62AF85E8" w14:textId="77777777" w:rsidR="000A2ADC" w:rsidRPr="00AC7380" w:rsidRDefault="000A2ADC" w:rsidP="007344C2">
            <w:pPr>
              <w:rPr>
                <w:rFonts w:ascii="Verdana" w:hAnsi="Verdana"/>
                <w:i/>
                <w:sz w:val="24"/>
                <w:szCs w:val="24"/>
              </w:rPr>
            </w:pPr>
            <w:r w:rsidRPr="00AC7380">
              <w:rPr>
                <w:rFonts w:ascii="Verdana" w:hAnsi="Verdana"/>
                <w:sz w:val="24"/>
                <w:szCs w:val="24"/>
              </w:rPr>
              <w:t>An Equality and Health Impact Assessment is not required. Equality and Health Impact Assessments will be completed as part of delivery of the specific actions within the Plan.</w:t>
            </w:r>
          </w:p>
        </w:tc>
      </w:tr>
      <w:tr w:rsidR="000A2ADC" w:rsidRPr="00AC7380" w14:paraId="6CAAE952" w14:textId="77777777" w:rsidTr="009B0876">
        <w:tc>
          <w:tcPr>
            <w:tcW w:w="3838" w:type="dxa"/>
            <w:gridSpan w:val="3"/>
          </w:tcPr>
          <w:p w14:paraId="5C89BF20" w14:textId="77777777" w:rsidR="000A2ADC" w:rsidRPr="00AC7380" w:rsidRDefault="000A2ADC" w:rsidP="007344C2">
            <w:pPr>
              <w:rPr>
                <w:rFonts w:ascii="Verdana" w:hAnsi="Verdana"/>
                <w:b/>
                <w:sz w:val="24"/>
                <w:szCs w:val="24"/>
              </w:rPr>
            </w:pPr>
            <w:r w:rsidRPr="00AC7380">
              <w:rPr>
                <w:rFonts w:ascii="Verdana" w:hAnsi="Verdana"/>
                <w:b/>
                <w:sz w:val="24"/>
                <w:szCs w:val="24"/>
              </w:rPr>
              <w:t>Risk and Assurance</w:t>
            </w:r>
          </w:p>
        </w:tc>
        <w:tc>
          <w:tcPr>
            <w:tcW w:w="5188" w:type="dxa"/>
            <w:gridSpan w:val="5"/>
            <w:tcBorders>
              <w:bottom w:val="single" w:sz="4" w:space="0" w:color="auto"/>
            </w:tcBorders>
          </w:tcPr>
          <w:p w14:paraId="2B761907" w14:textId="77777777" w:rsidR="000A2ADC" w:rsidRPr="00AC7380" w:rsidRDefault="000A2ADC" w:rsidP="007344C2">
            <w:pPr>
              <w:rPr>
                <w:rFonts w:ascii="Verdana" w:hAnsi="Verdana"/>
                <w:sz w:val="24"/>
                <w:szCs w:val="24"/>
              </w:rPr>
            </w:pPr>
            <w:r w:rsidRPr="00AC7380">
              <w:rPr>
                <w:rFonts w:ascii="Verdana" w:hAnsi="Verdana"/>
                <w:sz w:val="24"/>
                <w:szCs w:val="24"/>
              </w:rPr>
              <w:t>Our Strategic Risks are detailed within Our Strategic Plan</w:t>
            </w:r>
            <w:r w:rsidR="00603EE9">
              <w:rPr>
                <w:rFonts w:ascii="Verdana" w:hAnsi="Verdana"/>
                <w:sz w:val="24"/>
                <w:szCs w:val="24"/>
              </w:rPr>
              <w:t xml:space="preserve"> and the Implementation Plan for the Test Trace Protect Strategy.</w:t>
            </w:r>
          </w:p>
        </w:tc>
      </w:tr>
      <w:tr w:rsidR="000A2ADC" w:rsidRPr="00AC7380" w14:paraId="38DA1398" w14:textId="77777777" w:rsidTr="009B0876">
        <w:trPr>
          <w:trHeight w:val="1030"/>
        </w:trPr>
        <w:tc>
          <w:tcPr>
            <w:tcW w:w="3838" w:type="dxa"/>
            <w:gridSpan w:val="3"/>
            <w:vMerge w:val="restart"/>
          </w:tcPr>
          <w:p w14:paraId="73C5EF70" w14:textId="77777777" w:rsidR="000A2ADC" w:rsidRPr="00AC7380" w:rsidRDefault="000A2ADC" w:rsidP="007344C2">
            <w:pPr>
              <w:rPr>
                <w:rFonts w:ascii="Verdana" w:hAnsi="Verdana"/>
                <w:b/>
                <w:sz w:val="24"/>
                <w:szCs w:val="24"/>
              </w:rPr>
            </w:pPr>
            <w:r w:rsidRPr="00AC7380">
              <w:rPr>
                <w:rFonts w:ascii="Verdana" w:hAnsi="Verdana"/>
                <w:b/>
                <w:sz w:val="24"/>
                <w:szCs w:val="24"/>
              </w:rPr>
              <w:t>Health and Care Standards</w:t>
            </w:r>
          </w:p>
        </w:tc>
        <w:tc>
          <w:tcPr>
            <w:tcW w:w="5188" w:type="dxa"/>
            <w:gridSpan w:val="5"/>
            <w:tcBorders>
              <w:bottom w:val="nil"/>
            </w:tcBorders>
          </w:tcPr>
          <w:p w14:paraId="0B7F973F" w14:textId="77777777" w:rsidR="000A2ADC" w:rsidRPr="00AC7380" w:rsidRDefault="000A2ADC" w:rsidP="007344C2">
            <w:pPr>
              <w:rPr>
                <w:rFonts w:ascii="Verdana" w:hAnsi="Verdana"/>
                <w:sz w:val="24"/>
                <w:szCs w:val="24"/>
              </w:rPr>
            </w:pPr>
            <w:r w:rsidRPr="00AC7380">
              <w:rPr>
                <w:rFonts w:ascii="Verdana" w:hAnsi="Verdana"/>
                <w:sz w:val="24"/>
                <w:szCs w:val="24"/>
              </w:rPr>
              <w:t>This report supports and/or takes into account the</w:t>
            </w:r>
            <w:r w:rsidRPr="00AC7380">
              <w:rPr>
                <w:rFonts w:ascii="Verdana" w:hAnsi="Verdana"/>
                <w:color w:val="404040" w:themeColor="text1" w:themeTint="BF"/>
                <w:sz w:val="24"/>
                <w:szCs w:val="24"/>
              </w:rPr>
              <w:t xml:space="preserve"> </w:t>
            </w:r>
            <w:hyperlink r:id="rId10" w:history="1">
              <w:r w:rsidRPr="00AC7380">
                <w:rPr>
                  <w:rFonts w:ascii="Verdana" w:hAnsi="Verdana"/>
                  <w:color w:val="0000FF"/>
                  <w:sz w:val="24"/>
                  <w:szCs w:val="24"/>
                  <w:u w:val="single"/>
                </w:rPr>
                <w:t>Health and Care Standards for NHS Wales</w:t>
              </w:r>
            </w:hyperlink>
            <w:r w:rsidRPr="00AC7380">
              <w:rPr>
                <w:rFonts w:ascii="Verdana" w:hAnsi="Verdana"/>
                <w:sz w:val="24"/>
                <w:szCs w:val="24"/>
              </w:rPr>
              <w:t xml:space="preserve"> Quality Themes </w:t>
            </w:r>
          </w:p>
        </w:tc>
      </w:tr>
      <w:tr w:rsidR="000A2ADC" w:rsidRPr="00AC7380" w14:paraId="1213772B" w14:textId="77777777" w:rsidTr="009B0876">
        <w:trPr>
          <w:trHeight w:val="281"/>
        </w:trPr>
        <w:tc>
          <w:tcPr>
            <w:tcW w:w="3838" w:type="dxa"/>
            <w:gridSpan w:val="3"/>
            <w:vMerge/>
          </w:tcPr>
          <w:p w14:paraId="212E818B" w14:textId="77777777" w:rsidR="000A2ADC" w:rsidRPr="00AC7380" w:rsidRDefault="000A2ADC" w:rsidP="007344C2">
            <w:pPr>
              <w:rPr>
                <w:rFonts w:ascii="Verdana" w:hAnsi="Verdana"/>
                <w:b/>
                <w:sz w:val="24"/>
                <w:szCs w:val="24"/>
              </w:rPr>
            </w:pPr>
          </w:p>
        </w:tc>
        <w:tc>
          <w:tcPr>
            <w:tcW w:w="5188" w:type="dxa"/>
            <w:gridSpan w:val="5"/>
            <w:tcBorders>
              <w:top w:val="nil"/>
              <w:bottom w:val="nil"/>
            </w:tcBorders>
          </w:tcPr>
          <w:sdt>
            <w:sdtPr>
              <w:rPr>
                <w:rFonts w:ascii="Verdana" w:hAnsi="Verdana"/>
                <w:szCs w:val="24"/>
              </w:rPr>
              <w:alias w:val="Health and Care Standards"/>
              <w:tag w:val="Health and Care Standards"/>
              <w:id w:val="29471429"/>
              <w:placeholder>
                <w:docPart w:val="FE97394D53524DD7833A54A90B84E4E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sdtContent>
              <w:p w14:paraId="102C6460" w14:textId="77777777" w:rsidR="000A2ADC" w:rsidRPr="00AC7380" w:rsidRDefault="000A2ADC" w:rsidP="007344C2">
                <w:pPr>
                  <w:ind w:left="436"/>
                  <w:rPr>
                    <w:rFonts w:ascii="Verdana" w:hAnsi="Verdana"/>
                    <w:sz w:val="24"/>
                    <w:szCs w:val="24"/>
                  </w:rPr>
                </w:pPr>
                <w:r w:rsidRPr="00AC7380">
                  <w:rPr>
                    <w:rFonts w:ascii="Verdana" w:hAnsi="Verdana"/>
                    <w:szCs w:val="24"/>
                  </w:rPr>
                  <w:t>All themes</w:t>
                </w:r>
              </w:p>
            </w:sdtContent>
          </w:sdt>
        </w:tc>
      </w:tr>
      <w:tr w:rsidR="000A2ADC" w:rsidRPr="00AC7380" w14:paraId="6FCC3207" w14:textId="77777777" w:rsidTr="009B0876">
        <w:tc>
          <w:tcPr>
            <w:tcW w:w="3838" w:type="dxa"/>
            <w:gridSpan w:val="3"/>
          </w:tcPr>
          <w:p w14:paraId="0FCF5A41" w14:textId="77777777" w:rsidR="000A2ADC" w:rsidRPr="00AC7380" w:rsidRDefault="000A2ADC" w:rsidP="007344C2">
            <w:pPr>
              <w:rPr>
                <w:rFonts w:ascii="Verdana" w:hAnsi="Verdana"/>
                <w:b/>
                <w:sz w:val="24"/>
                <w:szCs w:val="24"/>
              </w:rPr>
            </w:pPr>
            <w:r w:rsidRPr="00AC7380">
              <w:rPr>
                <w:rFonts w:ascii="Verdana" w:hAnsi="Verdana"/>
                <w:b/>
                <w:sz w:val="24"/>
                <w:szCs w:val="24"/>
              </w:rPr>
              <w:t>Financial implications</w:t>
            </w:r>
          </w:p>
        </w:tc>
        <w:tc>
          <w:tcPr>
            <w:tcW w:w="5188" w:type="dxa"/>
            <w:gridSpan w:val="5"/>
          </w:tcPr>
          <w:p w14:paraId="20C63AD8" w14:textId="77777777" w:rsidR="000A2ADC" w:rsidRPr="00AC7380" w:rsidRDefault="000A2ADC" w:rsidP="007344C2">
            <w:pPr>
              <w:rPr>
                <w:rFonts w:ascii="Verdana" w:hAnsi="Verdana"/>
                <w:sz w:val="24"/>
                <w:szCs w:val="24"/>
              </w:rPr>
            </w:pPr>
            <w:r w:rsidRPr="00AC7380">
              <w:rPr>
                <w:rFonts w:ascii="Verdana" w:hAnsi="Verdana"/>
                <w:sz w:val="24"/>
                <w:szCs w:val="24"/>
              </w:rPr>
              <w:t>An update on the organisation’s financial performance is enclosed</w:t>
            </w:r>
          </w:p>
        </w:tc>
      </w:tr>
      <w:tr w:rsidR="000A2ADC" w:rsidRPr="00AC7380" w14:paraId="65C5A530" w14:textId="77777777" w:rsidTr="009B0876">
        <w:tc>
          <w:tcPr>
            <w:tcW w:w="3838" w:type="dxa"/>
            <w:gridSpan w:val="3"/>
          </w:tcPr>
          <w:p w14:paraId="07A83447" w14:textId="77777777" w:rsidR="000A2ADC" w:rsidRPr="00AC7380" w:rsidRDefault="000A2ADC" w:rsidP="007344C2">
            <w:pPr>
              <w:rPr>
                <w:rFonts w:ascii="Verdana" w:hAnsi="Verdana"/>
                <w:b/>
                <w:sz w:val="24"/>
                <w:szCs w:val="24"/>
              </w:rPr>
            </w:pPr>
            <w:r w:rsidRPr="00AC7380">
              <w:rPr>
                <w:rFonts w:ascii="Verdana" w:hAnsi="Verdana"/>
                <w:b/>
                <w:sz w:val="24"/>
                <w:szCs w:val="24"/>
              </w:rPr>
              <w:t xml:space="preserve">People implications </w:t>
            </w:r>
          </w:p>
        </w:tc>
        <w:tc>
          <w:tcPr>
            <w:tcW w:w="5188" w:type="dxa"/>
            <w:gridSpan w:val="5"/>
            <w:tcBorders>
              <w:bottom w:val="single" w:sz="4" w:space="0" w:color="auto"/>
            </w:tcBorders>
          </w:tcPr>
          <w:p w14:paraId="5AEA337A" w14:textId="77777777" w:rsidR="000A2ADC" w:rsidRPr="00AC7380" w:rsidRDefault="000A2ADC" w:rsidP="007344C2">
            <w:pPr>
              <w:rPr>
                <w:rFonts w:ascii="Verdana" w:hAnsi="Verdana"/>
                <w:sz w:val="24"/>
                <w:szCs w:val="24"/>
              </w:rPr>
            </w:pPr>
            <w:r w:rsidRPr="00AC7380">
              <w:rPr>
                <w:rFonts w:ascii="Verdana" w:hAnsi="Verdana"/>
                <w:sz w:val="24"/>
                <w:szCs w:val="24"/>
              </w:rPr>
              <w:t>An update on the organisation’s people performance is enclosed</w:t>
            </w:r>
          </w:p>
        </w:tc>
      </w:tr>
    </w:tbl>
    <w:p w14:paraId="6A5F026B" w14:textId="77777777" w:rsidR="000A2ADC" w:rsidRPr="00AC7380" w:rsidRDefault="000A2ADC" w:rsidP="000A2ADC">
      <w:pPr>
        <w:spacing w:after="0" w:line="240" w:lineRule="auto"/>
        <w:ind w:left="53"/>
        <w:rPr>
          <w:rFonts w:ascii="Verdana" w:eastAsia="Times New Roman" w:hAnsi="Verdana" w:cs="Times New Roman"/>
          <w:b/>
          <w:color w:val="FF0000"/>
          <w:sz w:val="24"/>
          <w:szCs w:val="24"/>
        </w:rPr>
        <w:sectPr w:rsidR="000A2ADC" w:rsidRPr="00AC7380" w:rsidSect="008F2049">
          <w:footerReference w:type="default" r:id="rId11"/>
          <w:pgSz w:w="11906" w:h="16838"/>
          <w:pgMar w:top="1440" w:right="1440" w:bottom="1440" w:left="1440" w:header="708" w:footer="708" w:gutter="0"/>
          <w:cols w:space="708"/>
          <w:docGrid w:linePitch="360"/>
        </w:sectPr>
      </w:pPr>
    </w:p>
    <w:p w14:paraId="59ECB6DC" w14:textId="77777777" w:rsidR="000A2ADC" w:rsidRPr="00AC7380" w:rsidRDefault="002D2B15" w:rsidP="00D72510">
      <w:pPr>
        <w:keepNext/>
        <w:keepLines/>
        <w:numPr>
          <w:ilvl w:val="0"/>
          <w:numId w:val="1"/>
        </w:numPr>
        <w:spacing w:after="0" w:line="240" w:lineRule="auto"/>
        <w:ind w:left="567" w:right="731" w:hanging="567"/>
        <w:outlineLvl w:val="0"/>
        <w:rPr>
          <w:rFonts w:ascii="Verdana" w:eastAsiaTheme="majorEastAsia" w:hAnsi="Verdana" w:cstheme="majorBidi"/>
          <w:b/>
          <w:bCs/>
          <w:sz w:val="24"/>
          <w:szCs w:val="24"/>
        </w:rPr>
      </w:pPr>
      <w:r>
        <w:rPr>
          <w:rFonts w:ascii="Verdana" w:eastAsiaTheme="majorEastAsia" w:hAnsi="Verdana" w:cstheme="majorBidi"/>
          <w:b/>
          <w:bCs/>
          <w:sz w:val="24"/>
          <w:szCs w:val="24"/>
        </w:rPr>
        <w:t>Purpose / S</w:t>
      </w:r>
      <w:r w:rsidR="000A2ADC" w:rsidRPr="00AC7380">
        <w:rPr>
          <w:rFonts w:ascii="Verdana" w:eastAsiaTheme="majorEastAsia" w:hAnsi="Verdana" w:cstheme="majorBidi"/>
          <w:b/>
          <w:bCs/>
          <w:sz w:val="24"/>
          <w:szCs w:val="24"/>
        </w:rPr>
        <w:t>ituation</w:t>
      </w:r>
    </w:p>
    <w:p w14:paraId="692FF6A7" w14:textId="77777777" w:rsidR="000A2ADC" w:rsidRPr="00E970F4" w:rsidRDefault="000A2ADC" w:rsidP="00D72510">
      <w:pPr>
        <w:spacing w:after="0" w:line="240" w:lineRule="auto"/>
        <w:ind w:left="567" w:right="731" w:hanging="567"/>
        <w:contextualSpacing/>
        <w:rPr>
          <w:rFonts w:ascii="Verdana" w:hAnsi="Verdana"/>
          <w:sz w:val="8"/>
          <w:szCs w:val="24"/>
        </w:rPr>
      </w:pPr>
    </w:p>
    <w:p w14:paraId="7016519C" w14:textId="77777777" w:rsidR="0083723B" w:rsidRPr="00A6361F" w:rsidRDefault="0083723B" w:rsidP="00464E10">
      <w:pPr>
        <w:pStyle w:val="TableParagraph"/>
        <w:spacing w:before="120" w:after="200" w:line="20" w:lineRule="atLeast"/>
        <w:ind w:left="567"/>
        <w:jc w:val="both"/>
        <w:rPr>
          <w:rFonts w:ascii="Verdana" w:eastAsia="Verdana" w:hAnsi="Verdana" w:cstheme="minorBidi"/>
          <w:lang w:val="en-GB"/>
        </w:rPr>
      </w:pPr>
      <w:r w:rsidRPr="00A6361F">
        <w:rPr>
          <w:rFonts w:ascii="Verdana" w:eastAsia="Verdana" w:hAnsi="Verdana" w:cstheme="minorBidi"/>
          <w:lang w:val="en-GB"/>
        </w:rPr>
        <w:t xml:space="preserve">Our </w:t>
      </w:r>
      <w:r w:rsidR="00AD3A69" w:rsidRPr="00A6361F">
        <w:rPr>
          <w:rFonts w:ascii="Verdana" w:eastAsia="Verdana" w:hAnsi="Verdana" w:cstheme="minorBidi"/>
          <w:lang w:val="en-GB"/>
        </w:rPr>
        <w:t xml:space="preserve">refreshed Month 3 </w:t>
      </w:r>
      <w:r w:rsidRPr="00A6361F">
        <w:rPr>
          <w:rFonts w:ascii="Verdana" w:eastAsia="Verdana" w:hAnsi="Verdana" w:cstheme="minorBidi"/>
          <w:lang w:val="en-GB"/>
        </w:rPr>
        <w:t xml:space="preserve">Performance </w:t>
      </w:r>
      <w:r w:rsidR="00D657BF" w:rsidRPr="00A6361F">
        <w:rPr>
          <w:rFonts w:ascii="Verdana" w:eastAsia="Verdana" w:hAnsi="Verdana" w:cstheme="minorBidi"/>
          <w:lang w:val="en-GB"/>
        </w:rPr>
        <w:t xml:space="preserve">and Insights </w:t>
      </w:r>
      <w:r w:rsidRPr="00A6361F">
        <w:rPr>
          <w:rFonts w:ascii="Verdana" w:eastAsia="Verdana" w:hAnsi="Verdana" w:cstheme="minorBidi"/>
          <w:lang w:val="en-GB"/>
        </w:rPr>
        <w:t xml:space="preserve">Report </w:t>
      </w:r>
      <w:r w:rsidR="00096513" w:rsidRPr="00A6361F">
        <w:rPr>
          <w:rFonts w:ascii="Verdana" w:eastAsia="Verdana" w:hAnsi="Verdana" w:cstheme="minorBidi"/>
          <w:lang w:val="en-GB"/>
        </w:rPr>
        <w:t>focuses on</w:t>
      </w:r>
      <w:r w:rsidRPr="00A6361F">
        <w:rPr>
          <w:rFonts w:ascii="Verdana" w:eastAsia="Verdana" w:hAnsi="Verdana" w:cstheme="minorBidi"/>
          <w:lang w:val="en-GB"/>
        </w:rPr>
        <w:t xml:space="preserve"> delivering actionable insights </w:t>
      </w:r>
      <w:r w:rsidR="00AD3A69" w:rsidRPr="00A6361F">
        <w:rPr>
          <w:rFonts w:ascii="Verdana" w:eastAsia="Verdana" w:hAnsi="Verdana" w:cstheme="minorBidi"/>
          <w:lang w:val="en-GB"/>
        </w:rPr>
        <w:t xml:space="preserve">and assurance </w:t>
      </w:r>
      <w:r w:rsidR="002124E2" w:rsidRPr="00A6361F">
        <w:rPr>
          <w:rFonts w:ascii="Verdana" w:eastAsia="Verdana" w:hAnsi="Verdana" w:cstheme="minorBidi"/>
          <w:lang w:val="en-GB"/>
        </w:rPr>
        <w:t>whilst</w:t>
      </w:r>
      <w:r w:rsidRPr="00A6361F">
        <w:rPr>
          <w:rFonts w:ascii="Verdana" w:eastAsia="Verdana" w:hAnsi="Verdana" w:cstheme="minorBidi"/>
          <w:lang w:val="en-GB"/>
        </w:rPr>
        <w:t xml:space="preserve"> identifying areas </w:t>
      </w:r>
      <w:r w:rsidR="00096513" w:rsidRPr="00A6361F">
        <w:rPr>
          <w:rFonts w:ascii="Verdana" w:eastAsia="Verdana" w:hAnsi="Verdana" w:cstheme="minorBidi"/>
          <w:lang w:val="en-GB"/>
        </w:rPr>
        <w:t xml:space="preserve">for improvement </w:t>
      </w:r>
      <w:r w:rsidRPr="00A6361F">
        <w:rPr>
          <w:rFonts w:ascii="Verdana" w:eastAsia="Verdana" w:hAnsi="Verdana" w:cstheme="minorBidi"/>
          <w:lang w:val="en-GB"/>
        </w:rPr>
        <w:t xml:space="preserve">across </w:t>
      </w:r>
      <w:r w:rsidR="00096513" w:rsidRPr="00A6361F">
        <w:rPr>
          <w:rFonts w:ascii="Verdana" w:eastAsia="Verdana" w:hAnsi="Verdana" w:cstheme="minorBidi"/>
          <w:lang w:val="en-GB"/>
        </w:rPr>
        <w:t xml:space="preserve">the following </w:t>
      </w:r>
      <w:r w:rsidRPr="00A6361F">
        <w:rPr>
          <w:rFonts w:ascii="Verdana" w:eastAsia="Verdana" w:hAnsi="Verdana" w:cstheme="minorBidi"/>
          <w:lang w:val="en-GB"/>
        </w:rPr>
        <w:t>key themes;</w:t>
      </w:r>
    </w:p>
    <w:p w14:paraId="2345D1EC" w14:textId="77777777" w:rsidR="00AD3A69" w:rsidRPr="00A6361F" w:rsidRDefault="00AD3A69" w:rsidP="00AD3A69">
      <w:pPr>
        <w:pStyle w:val="TableParagraph"/>
        <w:numPr>
          <w:ilvl w:val="1"/>
          <w:numId w:val="10"/>
        </w:numPr>
        <w:spacing w:after="60" w:line="20" w:lineRule="atLeast"/>
        <w:ind w:left="1276" w:hanging="283"/>
        <w:jc w:val="both"/>
        <w:rPr>
          <w:rFonts w:ascii="Verdana" w:eastAsia="Verdana" w:hAnsi="Verdana" w:cstheme="minorBidi"/>
          <w:lang w:val="en-GB"/>
        </w:rPr>
      </w:pPr>
      <w:r w:rsidRPr="00A6361F">
        <w:rPr>
          <w:rFonts w:ascii="Verdana" w:eastAsia="Verdana" w:hAnsi="Verdana"/>
          <w:i/>
        </w:rPr>
        <w:t>Governance and Accountability</w:t>
      </w:r>
      <w:r w:rsidRPr="00A6361F">
        <w:rPr>
          <w:rFonts w:ascii="Verdana" w:eastAsia="Verdana" w:hAnsi="Verdana"/>
        </w:rPr>
        <w:t>; including Board and Corporate Governance, Financial Governance, Workforce Governance, quality and improvement, and service delivery</w:t>
      </w:r>
    </w:p>
    <w:p w14:paraId="48931523" w14:textId="77777777" w:rsidR="00AD3A69" w:rsidRPr="00A6361F" w:rsidRDefault="00AD3A69" w:rsidP="00AD3A69">
      <w:pPr>
        <w:pStyle w:val="TableParagraph"/>
        <w:numPr>
          <w:ilvl w:val="1"/>
          <w:numId w:val="10"/>
        </w:numPr>
        <w:spacing w:after="60" w:line="20" w:lineRule="atLeast"/>
        <w:ind w:left="1276" w:hanging="283"/>
        <w:jc w:val="both"/>
        <w:rPr>
          <w:rFonts w:ascii="Verdana" w:eastAsia="Verdana" w:hAnsi="Verdana" w:cstheme="minorBidi"/>
          <w:lang w:val="en-GB"/>
        </w:rPr>
      </w:pPr>
      <w:r w:rsidRPr="00A6361F">
        <w:rPr>
          <w:rFonts w:ascii="Verdana" w:eastAsia="Verdana" w:hAnsi="Verdana"/>
          <w:i/>
        </w:rPr>
        <w:t>Strategy</w:t>
      </w:r>
      <w:r w:rsidR="0007180F" w:rsidRPr="00A6361F">
        <w:rPr>
          <w:rFonts w:ascii="Verdana" w:eastAsia="Verdana" w:hAnsi="Verdana"/>
          <w:i/>
        </w:rPr>
        <w:t xml:space="preserve"> Delivery</w:t>
      </w:r>
      <w:r w:rsidRPr="00A6361F">
        <w:rPr>
          <w:rFonts w:ascii="Verdana" w:eastAsia="Verdana" w:hAnsi="Verdana"/>
        </w:rPr>
        <w:t>; including progress against our IMTP milestones</w:t>
      </w:r>
    </w:p>
    <w:p w14:paraId="4D9EC7B7" w14:textId="77777777" w:rsidR="0083723B" w:rsidRPr="002D2B15" w:rsidRDefault="0083723B" w:rsidP="005B6249">
      <w:pPr>
        <w:pStyle w:val="TableParagraph"/>
        <w:spacing w:after="60" w:line="20" w:lineRule="atLeast"/>
        <w:jc w:val="both"/>
        <w:rPr>
          <w:rFonts w:ascii="Verdana" w:eastAsia="Verdana" w:hAnsi="Verdana" w:cstheme="minorBidi"/>
          <w:sz w:val="2"/>
          <w:lang w:val="en-GB"/>
        </w:rPr>
      </w:pPr>
    </w:p>
    <w:p w14:paraId="5F6095D0" w14:textId="77777777" w:rsidR="005302DB" w:rsidRPr="00A6361F" w:rsidRDefault="0083723B" w:rsidP="00091ABE">
      <w:pPr>
        <w:pStyle w:val="TableParagraph"/>
        <w:spacing w:before="120" w:after="120" w:line="20" w:lineRule="atLeast"/>
        <w:ind w:left="567"/>
        <w:jc w:val="both"/>
        <w:rPr>
          <w:rFonts w:ascii="Verdana" w:eastAsia="Verdana" w:hAnsi="Verdana" w:cstheme="minorBidi"/>
          <w:lang w:val="en-GB"/>
        </w:rPr>
      </w:pPr>
      <w:r w:rsidRPr="00A6361F">
        <w:rPr>
          <w:rFonts w:ascii="Verdana" w:eastAsia="Verdana" w:hAnsi="Verdana" w:cstheme="minorBidi"/>
          <w:lang w:val="en-GB"/>
        </w:rPr>
        <w:t>This approach</w:t>
      </w:r>
      <w:r w:rsidR="00E970F4" w:rsidRPr="00A6361F">
        <w:rPr>
          <w:rFonts w:ascii="Verdana" w:eastAsia="Verdana" w:hAnsi="Verdana" w:cstheme="minorBidi"/>
          <w:lang w:val="en-GB"/>
        </w:rPr>
        <w:t xml:space="preserve"> support</w:t>
      </w:r>
      <w:r w:rsidR="00096513" w:rsidRPr="00A6361F">
        <w:rPr>
          <w:rFonts w:ascii="Verdana" w:eastAsia="Verdana" w:hAnsi="Verdana" w:cstheme="minorBidi"/>
          <w:lang w:val="en-GB"/>
        </w:rPr>
        <w:t>s</w:t>
      </w:r>
      <w:r w:rsidR="00E970F4" w:rsidRPr="00A6361F">
        <w:rPr>
          <w:rFonts w:ascii="Verdana" w:eastAsia="Verdana" w:hAnsi="Verdana" w:cstheme="minorBidi"/>
          <w:lang w:val="en-GB"/>
        </w:rPr>
        <w:t xml:space="preserve"> the Board and </w:t>
      </w:r>
      <w:r w:rsidR="002B182A" w:rsidRPr="00A6361F">
        <w:rPr>
          <w:rFonts w:ascii="Verdana" w:eastAsia="Verdana" w:hAnsi="Verdana" w:cstheme="minorBidi"/>
          <w:lang w:val="en-GB"/>
        </w:rPr>
        <w:t xml:space="preserve">its </w:t>
      </w:r>
      <w:r w:rsidR="00E970F4" w:rsidRPr="00A6361F">
        <w:rPr>
          <w:rFonts w:ascii="Verdana" w:eastAsia="Verdana" w:hAnsi="Verdana" w:cstheme="minorBidi"/>
          <w:lang w:val="en-GB"/>
        </w:rPr>
        <w:t>C</w:t>
      </w:r>
      <w:r w:rsidRPr="00A6361F">
        <w:rPr>
          <w:rFonts w:ascii="Verdana" w:eastAsia="Verdana" w:hAnsi="Verdana" w:cstheme="minorBidi"/>
          <w:lang w:val="en-GB"/>
        </w:rPr>
        <w:t>ommittees in discharg</w:t>
      </w:r>
      <w:r w:rsidR="00E970F4" w:rsidRPr="00A6361F">
        <w:rPr>
          <w:rFonts w:ascii="Verdana" w:eastAsia="Verdana" w:hAnsi="Verdana" w:cstheme="minorBidi"/>
          <w:lang w:val="en-GB"/>
        </w:rPr>
        <w:t>ing their responsibilities. The</w:t>
      </w:r>
      <w:r w:rsidRPr="00A6361F">
        <w:rPr>
          <w:rFonts w:ascii="Verdana" w:eastAsia="Verdana" w:hAnsi="Verdana" w:cstheme="minorBidi"/>
          <w:lang w:val="en-GB"/>
        </w:rPr>
        <w:t xml:space="preserve"> </w:t>
      </w:r>
      <w:r w:rsidR="00E272A4" w:rsidRPr="00A6361F">
        <w:rPr>
          <w:rFonts w:ascii="Verdana" w:eastAsia="Verdana" w:hAnsi="Verdana" w:cstheme="minorBidi"/>
          <w:lang w:val="en-GB"/>
        </w:rPr>
        <w:t>reporting</w:t>
      </w:r>
      <w:r w:rsidRPr="00A6361F">
        <w:rPr>
          <w:rFonts w:ascii="Verdana" w:eastAsia="Verdana" w:hAnsi="Verdana" w:cstheme="minorBidi"/>
          <w:lang w:val="en-GB"/>
        </w:rPr>
        <w:t xml:space="preserve"> of </w:t>
      </w:r>
      <w:r w:rsidR="00E272A4" w:rsidRPr="00A6361F">
        <w:rPr>
          <w:rFonts w:ascii="Verdana" w:eastAsia="Verdana" w:hAnsi="Verdana" w:cstheme="minorBidi"/>
          <w:lang w:val="en-GB"/>
        </w:rPr>
        <w:t xml:space="preserve">the </w:t>
      </w:r>
      <w:r w:rsidR="00E970F4" w:rsidRPr="00A6361F">
        <w:rPr>
          <w:rFonts w:ascii="Verdana" w:eastAsia="Verdana" w:hAnsi="Verdana" w:cstheme="minorBidi"/>
          <w:lang w:val="en-GB"/>
        </w:rPr>
        <w:t xml:space="preserve">key </w:t>
      </w:r>
      <w:r w:rsidRPr="00A6361F">
        <w:rPr>
          <w:rFonts w:ascii="Verdana" w:eastAsia="Verdana" w:hAnsi="Verdana" w:cstheme="minorBidi"/>
          <w:lang w:val="en-GB"/>
        </w:rPr>
        <w:t xml:space="preserve">themes will see us </w:t>
      </w:r>
      <w:r w:rsidR="00AD3A69" w:rsidRPr="00A6361F">
        <w:rPr>
          <w:rFonts w:ascii="Verdana" w:eastAsia="Verdana" w:hAnsi="Verdana" w:cstheme="minorBidi"/>
          <w:lang w:val="en-GB"/>
        </w:rPr>
        <w:t xml:space="preserve">continue to </w:t>
      </w:r>
      <w:r w:rsidRPr="00A6361F">
        <w:rPr>
          <w:rFonts w:ascii="Verdana" w:eastAsia="Verdana" w:hAnsi="Verdana" w:cstheme="minorBidi"/>
          <w:lang w:val="en-GB"/>
        </w:rPr>
        <w:t xml:space="preserve">align </w:t>
      </w:r>
      <w:r w:rsidR="00AD3A69" w:rsidRPr="00A6361F">
        <w:rPr>
          <w:rFonts w:ascii="Verdana" w:eastAsia="Verdana" w:hAnsi="Verdana" w:cstheme="minorBidi"/>
          <w:lang w:val="en-GB"/>
        </w:rPr>
        <w:t xml:space="preserve">with </w:t>
      </w:r>
      <w:r w:rsidRPr="00A6361F">
        <w:rPr>
          <w:rFonts w:ascii="Verdana" w:eastAsia="Verdana" w:hAnsi="Verdana" w:cstheme="minorBidi"/>
          <w:lang w:val="en-GB"/>
        </w:rPr>
        <w:t xml:space="preserve">the Welsh Government’s </w:t>
      </w:r>
      <w:r w:rsidRPr="00A6361F">
        <w:rPr>
          <w:rFonts w:ascii="Verdana" w:eastAsia="Verdana" w:hAnsi="Verdana" w:cstheme="minorBidi"/>
          <w:i/>
          <w:lang w:val="en-GB"/>
        </w:rPr>
        <w:t>A Healthier Wales</w:t>
      </w:r>
      <w:r w:rsidRPr="00A6361F">
        <w:rPr>
          <w:rFonts w:ascii="Verdana" w:eastAsia="Verdana" w:hAnsi="Verdana" w:cstheme="minorBidi"/>
          <w:lang w:val="en-GB"/>
        </w:rPr>
        <w:t xml:space="preserve"> </w:t>
      </w:r>
      <w:r w:rsidR="00E272A4" w:rsidRPr="00A6361F">
        <w:rPr>
          <w:rFonts w:ascii="Verdana" w:eastAsia="Verdana" w:hAnsi="Verdana" w:cstheme="minorBidi"/>
          <w:lang w:val="en-GB"/>
        </w:rPr>
        <w:t xml:space="preserve">quadruple aims </w:t>
      </w:r>
      <w:r w:rsidRPr="00A6361F">
        <w:rPr>
          <w:rFonts w:ascii="Verdana" w:eastAsia="Verdana" w:hAnsi="Verdana" w:cstheme="minorBidi"/>
          <w:lang w:val="en-GB"/>
        </w:rPr>
        <w:t xml:space="preserve">and </w:t>
      </w:r>
      <w:r w:rsidR="00E272A4" w:rsidRPr="00A6361F">
        <w:rPr>
          <w:rFonts w:ascii="Verdana" w:eastAsia="Verdana" w:hAnsi="Verdana" w:cstheme="minorBidi"/>
          <w:lang w:val="en-GB"/>
        </w:rPr>
        <w:t xml:space="preserve">key measures set out in the 2022/23 </w:t>
      </w:r>
      <w:r w:rsidR="00E970F4" w:rsidRPr="00A6361F">
        <w:rPr>
          <w:rFonts w:ascii="Verdana" w:eastAsia="Verdana" w:hAnsi="Verdana" w:cstheme="minorBidi"/>
          <w:lang w:val="en-GB"/>
        </w:rPr>
        <w:t xml:space="preserve">NHS </w:t>
      </w:r>
      <w:r w:rsidR="00E272A4" w:rsidRPr="00A6361F">
        <w:rPr>
          <w:rFonts w:ascii="Verdana" w:eastAsia="Verdana" w:hAnsi="Verdana" w:cstheme="minorBidi"/>
          <w:lang w:val="en-GB"/>
        </w:rPr>
        <w:t>Wales Performance</w:t>
      </w:r>
      <w:r w:rsidR="00E970F4" w:rsidRPr="00A6361F">
        <w:rPr>
          <w:rFonts w:ascii="Verdana" w:eastAsia="Verdana" w:hAnsi="Verdana" w:cstheme="minorBidi"/>
          <w:lang w:val="en-GB"/>
        </w:rPr>
        <w:t xml:space="preserve"> Framework. </w:t>
      </w:r>
    </w:p>
    <w:p w14:paraId="176040B4" w14:textId="77777777" w:rsidR="00531587" w:rsidRPr="00A6361F" w:rsidRDefault="00E970F4" w:rsidP="00FB60D9">
      <w:pPr>
        <w:pStyle w:val="TableParagraph"/>
        <w:spacing w:before="120" w:after="120" w:line="20" w:lineRule="atLeast"/>
        <w:ind w:left="567"/>
        <w:jc w:val="both"/>
        <w:rPr>
          <w:rFonts w:ascii="Verdana" w:eastAsia="Verdana" w:hAnsi="Verdana"/>
        </w:rPr>
      </w:pPr>
      <w:r w:rsidRPr="00A6361F">
        <w:rPr>
          <w:rFonts w:ascii="Verdana" w:eastAsia="Verdana" w:hAnsi="Verdana"/>
        </w:rPr>
        <w:t xml:space="preserve">The report is designed to be read in conjunction with the </w:t>
      </w:r>
      <w:hyperlink r:id="rId12" w:anchor="1" w:history="1">
        <w:r w:rsidRPr="00A6361F">
          <w:rPr>
            <w:rStyle w:val="Hyperlink"/>
            <w:rFonts w:ascii="Verdana" w:eastAsia="Verdana" w:hAnsi="Verdana"/>
          </w:rPr>
          <w:t>Performance and Assurance Dashboard</w:t>
        </w:r>
      </w:hyperlink>
      <w:r w:rsidR="00E556DE" w:rsidRPr="00A6361F">
        <w:rPr>
          <w:rFonts w:ascii="Verdana" w:eastAsia="Verdana" w:hAnsi="Verdana"/>
        </w:rPr>
        <w:t xml:space="preserve"> (PAD) and the </w:t>
      </w:r>
      <w:hyperlink r:id="rId13" w:history="1">
        <w:r w:rsidR="00E556DE" w:rsidRPr="00EB6FA8">
          <w:rPr>
            <w:rStyle w:val="Hyperlink"/>
            <w:rFonts w:ascii="Verdana" w:eastAsia="Verdana" w:hAnsi="Verdana"/>
          </w:rPr>
          <w:t>Public Health Rapid Overview Dashboard</w:t>
        </w:r>
        <w:r w:rsidR="00E326FD" w:rsidRPr="00EB6FA8">
          <w:rPr>
            <w:rStyle w:val="Hyperlink"/>
            <w:rFonts w:ascii="Verdana" w:eastAsia="Verdana" w:hAnsi="Verdana"/>
          </w:rPr>
          <w:t xml:space="preserve">. </w:t>
        </w:r>
      </w:hyperlink>
    </w:p>
    <w:p w14:paraId="629F01B2" w14:textId="77777777" w:rsidR="00AB47BD" w:rsidRPr="00360A68" w:rsidRDefault="00E326FD" w:rsidP="00360A68">
      <w:pPr>
        <w:pStyle w:val="TableParagraph"/>
        <w:spacing w:before="120" w:after="120" w:line="20" w:lineRule="atLeast"/>
        <w:ind w:left="567"/>
        <w:jc w:val="both"/>
        <w:rPr>
          <w:rFonts w:ascii="Verdana" w:eastAsia="Verdana" w:hAnsi="Verdana"/>
        </w:rPr>
      </w:pPr>
      <w:r w:rsidRPr="00A6361F">
        <w:rPr>
          <w:rFonts w:ascii="Verdana" w:eastAsia="Verdana" w:hAnsi="Verdana"/>
        </w:rPr>
        <w:t>Further developments to provide additional assurance to our Board are set out in section 4.</w:t>
      </w:r>
    </w:p>
    <w:p w14:paraId="0910EE5F" w14:textId="77777777" w:rsidR="000A2ADC" w:rsidRPr="00AC7380" w:rsidRDefault="000A2ADC" w:rsidP="00D7251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Background</w:t>
      </w:r>
    </w:p>
    <w:p w14:paraId="69956AC8" w14:textId="77777777" w:rsidR="000A2ADC" w:rsidRPr="00E970F4" w:rsidRDefault="000A2ADC" w:rsidP="00D72510">
      <w:pPr>
        <w:spacing w:after="0" w:line="240" w:lineRule="auto"/>
        <w:ind w:left="567" w:right="731" w:hanging="567"/>
        <w:contextualSpacing/>
        <w:rPr>
          <w:rFonts w:ascii="Verdana" w:hAnsi="Verdana"/>
          <w:sz w:val="8"/>
          <w:szCs w:val="8"/>
        </w:rPr>
      </w:pPr>
    </w:p>
    <w:p w14:paraId="242E644F" w14:textId="77777777" w:rsidR="00464E10" w:rsidRPr="00A6361F" w:rsidRDefault="00464E10" w:rsidP="00464E10">
      <w:pPr>
        <w:pStyle w:val="TableParagraph"/>
        <w:spacing w:before="120" w:after="120" w:line="20" w:lineRule="atLeast"/>
        <w:ind w:left="567"/>
        <w:jc w:val="both"/>
        <w:rPr>
          <w:rFonts w:ascii="Verdana" w:eastAsia="Verdana" w:hAnsi="Verdana"/>
        </w:rPr>
      </w:pPr>
      <w:r w:rsidRPr="00A6361F">
        <w:rPr>
          <w:rFonts w:ascii="Verdana" w:eastAsia="Verdana" w:hAnsi="Verdana"/>
        </w:rPr>
        <w:t>Access to high quality, timely and robust performance information is essential in providing assurance to our Executive Team</w:t>
      </w:r>
      <w:r w:rsidR="00E326FD" w:rsidRPr="00A6361F">
        <w:rPr>
          <w:rFonts w:ascii="Verdana" w:eastAsia="Verdana" w:hAnsi="Verdana"/>
        </w:rPr>
        <w:t xml:space="preserve">, </w:t>
      </w:r>
      <w:r w:rsidRPr="00A6361F">
        <w:rPr>
          <w:rFonts w:ascii="Verdana" w:eastAsia="Verdana" w:hAnsi="Verdana"/>
        </w:rPr>
        <w:t xml:space="preserve">Board </w:t>
      </w:r>
      <w:r w:rsidR="00E326FD" w:rsidRPr="00A6361F">
        <w:rPr>
          <w:rFonts w:ascii="Verdana" w:eastAsia="Verdana" w:hAnsi="Verdana"/>
        </w:rPr>
        <w:t xml:space="preserve">and its Committees on our progress since the </w:t>
      </w:r>
      <w:r w:rsidRPr="00A6361F">
        <w:rPr>
          <w:rFonts w:ascii="Verdana" w:eastAsia="Verdana" w:hAnsi="Verdana"/>
        </w:rPr>
        <w:t>COVID-19</w:t>
      </w:r>
      <w:r w:rsidR="00E326FD" w:rsidRPr="00A6361F">
        <w:rPr>
          <w:rFonts w:ascii="Verdana" w:eastAsia="Verdana" w:hAnsi="Verdana"/>
        </w:rPr>
        <w:t xml:space="preserve"> pandemic</w:t>
      </w:r>
      <w:r w:rsidRPr="00A6361F">
        <w:rPr>
          <w:rFonts w:ascii="Verdana" w:eastAsia="Verdana" w:hAnsi="Verdana"/>
        </w:rPr>
        <w:t>,</w:t>
      </w:r>
      <w:r w:rsidR="00E326FD" w:rsidRPr="00A6361F">
        <w:rPr>
          <w:rFonts w:ascii="Verdana" w:eastAsia="Verdana" w:hAnsi="Verdana"/>
        </w:rPr>
        <w:t xml:space="preserve"> </w:t>
      </w:r>
      <w:r w:rsidRPr="00A6361F">
        <w:rPr>
          <w:rFonts w:ascii="Verdana" w:eastAsia="Verdana" w:hAnsi="Verdana"/>
        </w:rPr>
        <w:t xml:space="preserve">delivery of public health services </w:t>
      </w:r>
      <w:r w:rsidR="001406DC" w:rsidRPr="00A6361F">
        <w:rPr>
          <w:rFonts w:ascii="Verdana" w:eastAsia="Verdana" w:hAnsi="Verdana"/>
        </w:rPr>
        <w:t xml:space="preserve">and functions, </w:t>
      </w:r>
      <w:r w:rsidRPr="00A6361F">
        <w:rPr>
          <w:rFonts w:ascii="Verdana" w:eastAsia="Verdana" w:hAnsi="Verdana"/>
        </w:rPr>
        <w:t xml:space="preserve">and </w:t>
      </w:r>
      <w:r w:rsidR="001406DC" w:rsidRPr="00A6361F">
        <w:rPr>
          <w:rFonts w:ascii="Verdana" w:eastAsia="Verdana" w:hAnsi="Verdana"/>
        </w:rPr>
        <w:t xml:space="preserve">our </w:t>
      </w:r>
      <w:r w:rsidR="00E556DE" w:rsidRPr="00A6361F">
        <w:rPr>
          <w:rFonts w:ascii="Verdana" w:eastAsia="Verdana" w:hAnsi="Verdana"/>
        </w:rPr>
        <w:t>role in improving population health and well-being.</w:t>
      </w:r>
      <w:r w:rsidRPr="00A6361F">
        <w:rPr>
          <w:rFonts w:ascii="Verdana" w:eastAsia="Verdana" w:hAnsi="Verdana"/>
        </w:rPr>
        <w:t xml:space="preserve"> </w:t>
      </w:r>
    </w:p>
    <w:p w14:paraId="22CAE286" w14:textId="77777777" w:rsidR="00464E10" w:rsidRPr="00A6361F" w:rsidRDefault="00464E10" w:rsidP="00464E10">
      <w:pPr>
        <w:pStyle w:val="TableParagraph"/>
        <w:spacing w:before="120" w:after="120" w:line="20" w:lineRule="atLeast"/>
        <w:ind w:left="567"/>
        <w:jc w:val="both"/>
        <w:rPr>
          <w:rFonts w:ascii="Verdana" w:eastAsia="Verdana" w:hAnsi="Verdana" w:cstheme="minorBidi"/>
          <w:lang w:val="en-GB"/>
        </w:rPr>
      </w:pPr>
      <w:r w:rsidRPr="00360A68">
        <w:rPr>
          <w:rFonts w:ascii="Verdana" w:eastAsia="Verdana" w:hAnsi="Verdana" w:cstheme="minorBidi"/>
          <w:lang w:val="en-GB"/>
        </w:rPr>
        <w:t xml:space="preserve">Having </w:t>
      </w:r>
      <w:r w:rsidR="005302DB" w:rsidRPr="00360A68">
        <w:rPr>
          <w:rFonts w:ascii="Verdana" w:eastAsia="Verdana" w:hAnsi="Verdana" w:cstheme="minorBidi"/>
          <w:lang w:val="en-GB"/>
        </w:rPr>
        <w:t>strengthen</w:t>
      </w:r>
      <w:r w:rsidR="00E326FD" w:rsidRPr="00360A68">
        <w:rPr>
          <w:rFonts w:ascii="Verdana" w:eastAsia="Verdana" w:hAnsi="Verdana" w:cstheme="minorBidi"/>
          <w:lang w:val="en-GB"/>
        </w:rPr>
        <w:t>ed</w:t>
      </w:r>
      <w:r w:rsidRPr="00360A68">
        <w:rPr>
          <w:rFonts w:ascii="Verdana" w:eastAsia="Verdana" w:hAnsi="Verdana" w:cstheme="minorBidi"/>
          <w:lang w:val="en-GB"/>
        </w:rPr>
        <w:t xml:space="preserve"> our performance </w:t>
      </w:r>
      <w:r w:rsidR="00E326FD" w:rsidRPr="00360A68">
        <w:rPr>
          <w:rFonts w:ascii="Verdana" w:eastAsia="Verdana" w:hAnsi="Verdana" w:cstheme="minorBidi"/>
          <w:lang w:val="en-GB"/>
        </w:rPr>
        <w:t xml:space="preserve">reporting arrangements during the COVID-19 pandemic </w:t>
      </w:r>
      <w:r w:rsidRPr="00360A68">
        <w:rPr>
          <w:rFonts w:ascii="Verdana" w:eastAsia="Verdana" w:hAnsi="Verdana" w:cstheme="minorBidi"/>
          <w:lang w:val="en-GB"/>
        </w:rPr>
        <w:t xml:space="preserve">through the successful </w:t>
      </w:r>
      <w:r w:rsidR="002124E2" w:rsidRPr="00360A68">
        <w:rPr>
          <w:rFonts w:ascii="Verdana" w:eastAsia="Verdana" w:hAnsi="Verdana" w:cstheme="minorBidi"/>
          <w:lang w:val="en-GB"/>
        </w:rPr>
        <w:t>development</w:t>
      </w:r>
      <w:r w:rsidRPr="00360A68">
        <w:rPr>
          <w:rFonts w:ascii="Verdana" w:eastAsia="Verdana" w:hAnsi="Verdana" w:cstheme="minorBidi"/>
          <w:lang w:val="en-GB"/>
        </w:rPr>
        <w:t xml:space="preserve"> </w:t>
      </w:r>
      <w:r w:rsidR="00E326FD" w:rsidRPr="00360A68">
        <w:rPr>
          <w:rFonts w:ascii="Verdana" w:eastAsia="Verdana" w:hAnsi="Verdana" w:cstheme="minorBidi"/>
          <w:lang w:val="en-GB"/>
        </w:rPr>
        <w:t xml:space="preserve">and implementation </w:t>
      </w:r>
      <w:r w:rsidRPr="00360A68">
        <w:rPr>
          <w:rFonts w:ascii="Verdana" w:eastAsia="Verdana" w:hAnsi="Verdana" w:cstheme="minorBidi"/>
          <w:lang w:val="en-GB"/>
        </w:rPr>
        <w:t xml:space="preserve">of the PAD </w:t>
      </w:r>
      <w:r w:rsidR="00E326FD" w:rsidRPr="00360A68">
        <w:rPr>
          <w:rFonts w:ascii="Verdana" w:eastAsia="Verdana" w:hAnsi="Verdana" w:cstheme="minorBidi"/>
          <w:lang w:val="en-GB"/>
        </w:rPr>
        <w:t xml:space="preserve">and </w:t>
      </w:r>
      <w:r w:rsidRPr="00360A68">
        <w:rPr>
          <w:rFonts w:ascii="Verdana" w:eastAsia="Verdana" w:hAnsi="Verdana" w:cstheme="minorBidi"/>
          <w:lang w:val="en-GB"/>
        </w:rPr>
        <w:t>the accompanying</w:t>
      </w:r>
      <w:r w:rsidR="00E326FD" w:rsidRPr="00360A68">
        <w:rPr>
          <w:rFonts w:ascii="Verdana" w:eastAsia="Verdana" w:hAnsi="Verdana" w:cstheme="minorBidi"/>
          <w:lang w:val="en-GB"/>
        </w:rPr>
        <w:t xml:space="preserve"> Performance and Insight Report, further work is in train to develop our </w:t>
      </w:r>
      <w:r w:rsidR="00EA0565" w:rsidRPr="00360A68">
        <w:rPr>
          <w:rFonts w:ascii="Verdana" w:eastAsia="Verdana" w:hAnsi="Verdana" w:cstheme="minorBidi"/>
          <w:lang w:val="en-GB"/>
        </w:rPr>
        <w:t>suite of products</w:t>
      </w:r>
      <w:r w:rsidR="00E326FD" w:rsidRPr="00360A68">
        <w:rPr>
          <w:rFonts w:ascii="Verdana" w:eastAsia="Verdana" w:hAnsi="Verdana" w:cstheme="minorBidi"/>
          <w:lang w:val="en-GB"/>
        </w:rPr>
        <w:t xml:space="preserve"> further </w:t>
      </w:r>
      <w:r w:rsidR="00EA0565" w:rsidRPr="00360A68">
        <w:rPr>
          <w:rFonts w:ascii="Verdana" w:eastAsia="Verdana" w:hAnsi="Verdana" w:cstheme="minorBidi"/>
          <w:lang w:val="en-GB"/>
        </w:rPr>
        <w:t xml:space="preserve">with the aim of providing </w:t>
      </w:r>
      <w:r w:rsidR="00E326FD" w:rsidRPr="00360A68">
        <w:rPr>
          <w:rFonts w:ascii="Verdana" w:eastAsia="Verdana" w:hAnsi="Verdana" w:cstheme="minorBidi"/>
          <w:lang w:val="en-GB"/>
        </w:rPr>
        <w:t>additional assurance to our Board</w:t>
      </w:r>
      <w:r w:rsidR="00EA0565" w:rsidRPr="00360A68">
        <w:rPr>
          <w:rFonts w:ascii="Verdana" w:eastAsia="Verdana" w:hAnsi="Verdana" w:cstheme="minorBidi"/>
          <w:lang w:val="en-GB"/>
        </w:rPr>
        <w:t xml:space="preserve"> and to support decision making</w:t>
      </w:r>
      <w:r w:rsidR="00E326FD" w:rsidRPr="00360A68">
        <w:rPr>
          <w:rFonts w:ascii="Verdana" w:eastAsia="Verdana" w:hAnsi="Verdana" w:cstheme="minorBidi"/>
          <w:lang w:val="en-GB"/>
        </w:rPr>
        <w:t>.</w:t>
      </w:r>
      <w:r w:rsidRPr="00A6361F">
        <w:rPr>
          <w:rFonts w:ascii="Verdana" w:eastAsia="Verdana" w:hAnsi="Verdana" w:cstheme="minorBidi"/>
          <w:lang w:val="en-GB"/>
        </w:rPr>
        <w:t xml:space="preserve"> </w:t>
      </w:r>
    </w:p>
    <w:p w14:paraId="5C60EE84" w14:textId="77777777" w:rsidR="00A6361F" w:rsidRPr="00360A68" w:rsidRDefault="001406DC" w:rsidP="00360A68">
      <w:pPr>
        <w:pStyle w:val="TableParagraph"/>
        <w:spacing w:before="120" w:after="120" w:line="20" w:lineRule="atLeast"/>
        <w:ind w:left="567"/>
        <w:jc w:val="both"/>
        <w:rPr>
          <w:rFonts w:ascii="Verdana" w:hAnsi="Verdana"/>
          <w:lang w:val="en-GB"/>
        </w:rPr>
      </w:pPr>
      <w:r w:rsidRPr="00A6361F">
        <w:rPr>
          <w:rFonts w:ascii="Verdana" w:eastAsia="Verdana" w:hAnsi="Verdana"/>
        </w:rPr>
        <w:t xml:space="preserve">The </w:t>
      </w:r>
      <w:r w:rsidR="00EA0565" w:rsidRPr="00A6361F">
        <w:rPr>
          <w:rFonts w:ascii="Verdana" w:eastAsia="Verdana" w:hAnsi="Verdana"/>
        </w:rPr>
        <w:t>June</w:t>
      </w:r>
      <w:r w:rsidR="00FB60D9" w:rsidRPr="00A6361F">
        <w:rPr>
          <w:rFonts w:ascii="Verdana" w:eastAsia="Verdana" w:hAnsi="Verdana"/>
        </w:rPr>
        <w:t xml:space="preserve"> 2023</w:t>
      </w:r>
      <w:r w:rsidRPr="00A6361F">
        <w:rPr>
          <w:rFonts w:ascii="Verdana" w:eastAsia="Verdana" w:hAnsi="Verdana"/>
        </w:rPr>
        <w:t xml:space="preserve"> PAD can be accessed using the f</w:t>
      </w:r>
      <w:r w:rsidRPr="00A6361F">
        <w:rPr>
          <w:rFonts w:ascii="Verdana" w:hAnsi="Verdana"/>
        </w:rPr>
        <w:t xml:space="preserve">ollowing </w:t>
      </w:r>
      <w:hyperlink r:id="rId14" w:anchor="1" w:history="1">
        <w:r w:rsidRPr="00A6361F">
          <w:rPr>
            <w:rStyle w:val="Hyperlink"/>
            <w:rFonts w:ascii="Verdana" w:hAnsi="Verdana"/>
          </w:rPr>
          <w:t>Link,</w:t>
        </w:r>
      </w:hyperlink>
      <w:r w:rsidRPr="00A6361F">
        <w:rPr>
          <w:rFonts w:ascii="Verdana" w:hAnsi="Verdana"/>
        </w:rPr>
        <w:t xml:space="preserve"> or by navigating from specific areas of interest in the report by selecting the following symbol </w:t>
      </w:r>
      <w:r w:rsidRPr="00A6361F">
        <w:rPr>
          <w:rFonts w:ascii="Verdana" w:hAnsi="Verdana"/>
          <w:noProof/>
          <w:lang w:val="en-GB" w:eastAsia="en-GB"/>
        </w:rPr>
        <w:drawing>
          <wp:inline distT="0" distB="0" distL="0" distR="0" wp14:anchorId="5FD10D0D" wp14:editId="71EE9CB6">
            <wp:extent cx="179318" cy="180000"/>
            <wp:effectExtent l="0" t="0" r="0" b="0"/>
            <wp:docPr id="1" name="Picture 1">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9318" cy="180000"/>
                    </a:xfrm>
                    <a:prstGeom prst="rect">
                      <a:avLst/>
                    </a:prstGeom>
                  </pic:spPr>
                </pic:pic>
              </a:graphicData>
            </a:graphic>
          </wp:inline>
        </w:drawing>
      </w:r>
      <w:r w:rsidRPr="00A6361F">
        <w:rPr>
          <w:rFonts w:ascii="Verdana" w:hAnsi="Verdana"/>
        </w:rPr>
        <w:t xml:space="preserve">, thus enabling direct access to the </w:t>
      </w:r>
      <w:r w:rsidRPr="00A6361F">
        <w:rPr>
          <w:rFonts w:ascii="Verdana" w:hAnsi="Verdana"/>
          <w:lang w:val="en-GB"/>
        </w:rPr>
        <w:t>latest available performance information.</w:t>
      </w:r>
    </w:p>
    <w:p w14:paraId="0DAB34DE" w14:textId="77777777" w:rsidR="001406DC" w:rsidRPr="001406DC" w:rsidRDefault="00AD49B2" w:rsidP="001406DC">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Pr>
          <w:rFonts w:ascii="Verdana" w:eastAsiaTheme="majorEastAsia" w:hAnsi="Verdana" w:cstheme="majorBidi"/>
          <w:b/>
          <w:bCs/>
          <w:sz w:val="24"/>
          <w:szCs w:val="24"/>
        </w:rPr>
        <w:t>D</w:t>
      </w:r>
      <w:r w:rsidR="000A2ADC" w:rsidRPr="00AC7380">
        <w:rPr>
          <w:rFonts w:ascii="Verdana" w:eastAsiaTheme="majorEastAsia" w:hAnsi="Verdana" w:cstheme="majorBidi"/>
          <w:b/>
          <w:bCs/>
          <w:sz w:val="24"/>
          <w:szCs w:val="24"/>
        </w:rPr>
        <w:t>escription/Assessment</w:t>
      </w:r>
    </w:p>
    <w:p w14:paraId="7C17E63C" w14:textId="77777777" w:rsidR="001406DC" w:rsidRPr="001406DC" w:rsidRDefault="001406DC" w:rsidP="001406DC">
      <w:pPr>
        <w:pStyle w:val="TableParagraph"/>
        <w:ind w:left="567"/>
        <w:jc w:val="both"/>
        <w:rPr>
          <w:rFonts w:ascii="Verdana" w:eastAsia="Verdana" w:hAnsi="Verdana"/>
          <w:sz w:val="8"/>
          <w:szCs w:val="8"/>
        </w:rPr>
      </w:pPr>
    </w:p>
    <w:p w14:paraId="3BE897D7" w14:textId="77777777" w:rsidR="00464E10" w:rsidRPr="00A6361F" w:rsidRDefault="00464E10" w:rsidP="00297FB6">
      <w:pPr>
        <w:pStyle w:val="TableParagraph"/>
        <w:spacing w:before="120" w:after="200" w:line="20" w:lineRule="atLeast"/>
        <w:ind w:left="567"/>
        <w:jc w:val="left"/>
        <w:rPr>
          <w:rFonts w:ascii="Verdana" w:hAnsi="Verdana"/>
          <w:szCs w:val="23"/>
          <w:lang w:val="en-GB"/>
        </w:rPr>
      </w:pPr>
      <w:r w:rsidRPr="00A6361F">
        <w:rPr>
          <w:rFonts w:ascii="Verdana" w:hAnsi="Verdana"/>
          <w:szCs w:val="23"/>
          <w:lang w:val="en-GB"/>
        </w:rPr>
        <w:t>Key points to consider in this month’s P</w:t>
      </w:r>
      <w:r w:rsidR="00297FB6" w:rsidRPr="00A6361F">
        <w:rPr>
          <w:rFonts w:ascii="Verdana" w:hAnsi="Verdana"/>
          <w:szCs w:val="23"/>
          <w:lang w:val="en-GB"/>
        </w:rPr>
        <w:t xml:space="preserve">erformance and </w:t>
      </w:r>
      <w:r w:rsidR="001406DC" w:rsidRPr="00A6361F">
        <w:rPr>
          <w:rFonts w:ascii="Verdana" w:hAnsi="Verdana"/>
          <w:szCs w:val="23"/>
          <w:lang w:val="en-GB"/>
        </w:rPr>
        <w:t>Insight</w:t>
      </w:r>
      <w:r w:rsidR="00297FB6" w:rsidRPr="00A6361F">
        <w:rPr>
          <w:rFonts w:ascii="Verdana" w:hAnsi="Verdana"/>
          <w:szCs w:val="23"/>
          <w:lang w:val="en-GB"/>
        </w:rPr>
        <w:t xml:space="preserve"> </w:t>
      </w:r>
      <w:r w:rsidR="001406DC" w:rsidRPr="00A6361F">
        <w:rPr>
          <w:rFonts w:ascii="Verdana" w:hAnsi="Verdana"/>
          <w:szCs w:val="23"/>
          <w:lang w:val="en-GB"/>
        </w:rPr>
        <w:t xml:space="preserve">Report </w:t>
      </w:r>
      <w:r w:rsidRPr="00A6361F">
        <w:rPr>
          <w:rFonts w:ascii="Verdana" w:hAnsi="Verdana"/>
          <w:szCs w:val="23"/>
          <w:lang w:val="en-GB"/>
        </w:rPr>
        <w:t>are</w:t>
      </w:r>
      <w:r w:rsidR="001B7CA8" w:rsidRPr="00A6361F">
        <w:rPr>
          <w:rFonts w:ascii="Verdana" w:hAnsi="Verdana"/>
          <w:szCs w:val="23"/>
          <w:lang w:val="en-GB"/>
        </w:rPr>
        <w:t>:</w:t>
      </w:r>
    </w:p>
    <w:p w14:paraId="6515D950" w14:textId="77777777" w:rsidR="0007180F" w:rsidRPr="00A6361F" w:rsidRDefault="0007180F" w:rsidP="00297FB6">
      <w:pPr>
        <w:pStyle w:val="TableParagraph"/>
        <w:spacing w:before="120" w:after="200" w:line="20" w:lineRule="atLeast"/>
        <w:ind w:left="567"/>
        <w:jc w:val="left"/>
        <w:rPr>
          <w:rFonts w:ascii="Verdana" w:hAnsi="Verdana"/>
          <w:b/>
          <w:i/>
          <w:szCs w:val="23"/>
          <w:lang w:val="en-GB"/>
        </w:rPr>
      </w:pPr>
      <w:r w:rsidRPr="00A6361F">
        <w:rPr>
          <w:rFonts w:ascii="Verdana" w:hAnsi="Verdana"/>
          <w:b/>
          <w:i/>
          <w:szCs w:val="23"/>
          <w:lang w:val="en-GB"/>
        </w:rPr>
        <w:t>Governance and Accountability</w:t>
      </w:r>
    </w:p>
    <w:p w14:paraId="123EB379" w14:textId="77777777" w:rsidR="0007180F" w:rsidRPr="00A6361F" w:rsidRDefault="0007180F"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Following submission of the draft 2022-23 Annual Accounts to Audit Wales and Welsh Government on 5 May, Audit Wales issued an unqualified (clean) audit opinion on the accounts and there are no uncorrected misstatements. All Statutory Financial Duties and Administrative Requirements were met by the Trust.</w:t>
      </w:r>
    </w:p>
    <w:p w14:paraId="0A77E188" w14:textId="77777777" w:rsidR="0007180F" w:rsidRPr="00A6361F" w:rsidRDefault="0007180F"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 xml:space="preserve">Six Internal Audits were finalised over the past quarter and reported to the Audit and Corporate Governance Committee (ACGC). Four External Audits were also received and considered by the ACGC. Actions from both Internal and External Audit Reports will be included in the Audit Action Tracker and the implementation of actions will be monitored by ACGC going forward.  </w:t>
      </w:r>
    </w:p>
    <w:p w14:paraId="3413D734" w14:textId="77777777" w:rsidR="0007180F" w:rsidRPr="00A6361F" w:rsidRDefault="0007180F"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Our cumulative reported position at Month 3 2023/24 is a net surplus of £63k, with an anticipated breakeven position at year-end. The month 3 revenue position is being supported by £2.865m of non-recurrent COVID-19 funding.</w:t>
      </w:r>
    </w:p>
    <w:p w14:paraId="7833B397" w14:textId="77777777" w:rsidR="0007180F" w:rsidRPr="00A6361F" w:rsidRDefault="0007180F"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 xml:space="preserve">Our capital funding for 2023/24 is made up of £1.233m discretionary funding and £0.576m strategic funding, with an overall capital allocation for 2023/24 of £1.809m. Strategic capital includes £0.340m for </w:t>
      </w:r>
      <w:proofErr w:type="spellStart"/>
      <w:r w:rsidRPr="00A6361F">
        <w:rPr>
          <w:rFonts w:ascii="Verdana" w:hAnsi="Verdana"/>
          <w:szCs w:val="23"/>
        </w:rPr>
        <w:t>decarbonisation</w:t>
      </w:r>
      <w:proofErr w:type="spellEnd"/>
      <w:r w:rsidRPr="00A6361F">
        <w:rPr>
          <w:rFonts w:ascii="Verdana" w:hAnsi="Verdana"/>
          <w:szCs w:val="23"/>
        </w:rPr>
        <w:t xml:space="preserve"> schemes and £0.185m for fire compliance works, approved by the Estates Funding Advisory Board (EFAB). These bids were approved on the basis of a 30% contribution, £0.158m, from Public Health Wales’ discretionary capital funding.</w:t>
      </w:r>
    </w:p>
    <w:p w14:paraId="727D8F8E" w14:textId="77777777" w:rsidR="003A2499" w:rsidRPr="00A6361F" w:rsidRDefault="0007180F"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Performance on our Public Sector Payment Policy remains above statutory target at 96.91% (97.27% in month 3) and is expected to continue to exceed the 95% target for the remainder of the year. Year to date agency spend as a percentage of total pay equates to 2.5% with a year-end forecast of 2.5%.</w:t>
      </w:r>
    </w:p>
    <w:p w14:paraId="55F92369" w14:textId="77777777" w:rsidR="003A2499" w:rsidRPr="00A6361F" w:rsidRDefault="003A2499" w:rsidP="003A2499">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Sickness absence slightly decreased over the latest reporting period, with the rolling 12-month figure also decreasing at 4.22%. Short term sickness absence accounted for 74% of absences in June 2023, higher than the previous month.</w:t>
      </w:r>
    </w:p>
    <w:p w14:paraId="51D0517A" w14:textId="77777777" w:rsidR="003A2499" w:rsidRPr="00A6361F" w:rsidRDefault="003A2499" w:rsidP="003A2499">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 xml:space="preserve">Compliance with the core suite of statutory and mandatory training remained above the 85% Welsh Government target at 91.15%, whilst appraisal compliance was reported at 72% in June 2023, up from 70% compared to the previous two months. </w:t>
      </w:r>
    </w:p>
    <w:p w14:paraId="3FD2A976" w14:textId="77777777" w:rsidR="0007180F" w:rsidRPr="00A6361F" w:rsidRDefault="003A2499" w:rsidP="0007180F">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The final notice from the Welsh Language Commissioner relating to the investigation associated with our websites was received on 9 June. We are continuing to liaise with departments to address and correct the issues raised and develop processes to avoid future issues. We are also looking at options for translation of all future web content, and quality assurance/audit processes to ensure consistency of the quality, and safeguard against problems arising in future.</w:t>
      </w:r>
    </w:p>
    <w:p w14:paraId="0FBBDC2D" w14:textId="77777777" w:rsidR="003A2499" w:rsidRPr="00A6361F" w:rsidRDefault="003A2499" w:rsidP="003A2499">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The Childhood Vaccinations in Wales Annual Report 2023 has been published and shows that although uptake in younger children remains broadly positive, there has been a slight decreasing trend over the previous two years.</w:t>
      </w:r>
    </w:p>
    <w:p w14:paraId="34FA68B0" w14:textId="77777777" w:rsidR="003A2499" w:rsidRPr="00A6361F" w:rsidRDefault="003A2499" w:rsidP="003A2499">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The new HCAI dashboards for 2023/24 was published in late June 2023, with the normal reporting schedule resumed from July 2023. Historical Financial Year data from 2010/11 will be included in a separate dashboard to be published next month. Reduction expectation progress will also be added once the WHC has been published.</w:t>
      </w:r>
    </w:p>
    <w:p w14:paraId="058F0693" w14:textId="77777777" w:rsidR="003A2499" w:rsidRPr="00A6361F" w:rsidRDefault="003A2499" w:rsidP="003A2499">
      <w:pPr>
        <w:pStyle w:val="TableParagraph"/>
        <w:numPr>
          <w:ilvl w:val="0"/>
          <w:numId w:val="10"/>
        </w:numPr>
        <w:spacing w:after="60" w:line="20" w:lineRule="atLeast"/>
        <w:ind w:left="851" w:right="-330" w:hanging="291"/>
        <w:jc w:val="left"/>
        <w:rPr>
          <w:rFonts w:ascii="Verdana" w:hAnsi="Verdana"/>
          <w:szCs w:val="23"/>
        </w:rPr>
      </w:pPr>
      <w:r w:rsidRPr="00A6361F">
        <w:rPr>
          <w:rFonts w:ascii="Verdana" w:hAnsi="Verdana"/>
          <w:szCs w:val="23"/>
        </w:rPr>
        <w:t xml:space="preserve">Four new Diabetic Eye screening locations in Aneurin Bevan have been secured which supports offer locally. For Newborn Hearing, clinics offered from </w:t>
      </w:r>
      <w:r w:rsidR="00A6361F" w:rsidRPr="00A6361F">
        <w:rPr>
          <w:rFonts w:ascii="Verdana" w:hAnsi="Verdana"/>
          <w:szCs w:val="23"/>
        </w:rPr>
        <w:t xml:space="preserve">the </w:t>
      </w:r>
      <w:r w:rsidRPr="00A6361F">
        <w:rPr>
          <w:rFonts w:ascii="Verdana" w:hAnsi="Verdana"/>
          <w:szCs w:val="23"/>
        </w:rPr>
        <w:t xml:space="preserve">new screening </w:t>
      </w:r>
      <w:proofErr w:type="spellStart"/>
      <w:r w:rsidRPr="00A6361F">
        <w:rPr>
          <w:rFonts w:ascii="Verdana" w:hAnsi="Verdana"/>
          <w:szCs w:val="23"/>
        </w:rPr>
        <w:t>centre</w:t>
      </w:r>
      <w:proofErr w:type="spellEnd"/>
      <w:r w:rsidRPr="00A6361F">
        <w:rPr>
          <w:rFonts w:ascii="Verdana" w:hAnsi="Verdana"/>
          <w:szCs w:val="23"/>
        </w:rPr>
        <w:t xml:space="preserve"> in </w:t>
      </w:r>
      <w:proofErr w:type="spellStart"/>
      <w:r w:rsidRPr="00A6361F">
        <w:rPr>
          <w:rFonts w:ascii="Verdana" w:hAnsi="Verdana"/>
          <w:szCs w:val="23"/>
        </w:rPr>
        <w:t>Llanishen</w:t>
      </w:r>
      <w:proofErr w:type="spellEnd"/>
      <w:r w:rsidRPr="00A6361F">
        <w:rPr>
          <w:rFonts w:ascii="Verdana" w:hAnsi="Verdana"/>
          <w:szCs w:val="23"/>
        </w:rPr>
        <w:t xml:space="preserve"> have been well received, whilst a new Aneurysm Screening venue has been secured in Pontypool which will improve accessibility.</w:t>
      </w:r>
    </w:p>
    <w:p w14:paraId="5AFBF8B0" w14:textId="77777777" w:rsidR="00A6361F" w:rsidRPr="00A6361F" w:rsidRDefault="00A6361F" w:rsidP="00A6361F">
      <w:pPr>
        <w:pStyle w:val="TableParagraph"/>
        <w:numPr>
          <w:ilvl w:val="0"/>
          <w:numId w:val="10"/>
        </w:numPr>
        <w:spacing w:after="60" w:line="20" w:lineRule="atLeast"/>
        <w:ind w:left="851" w:right="-330" w:hanging="291"/>
        <w:jc w:val="left"/>
        <w:rPr>
          <w:rFonts w:ascii="Verdana" w:hAnsi="Verdana"/>
          <w:szCs w:val="23"/>
        </w:rPr>
      </w:pPr>
      <w:r>
        <w:rPr>
          <w:rFonts w:ascii="Verdana" w:hAnsi="Verdana"/>
          <w:szCs w:val="23"/>
        </w:rPr>
        <w:t xml:space="preserve">One formal complaint was received in </w:t>
      </w:r>
      <w:r w:rsidRPr="00A6361F">
        <w:rPr>
          <w:rFonts w:ascii="Verdana" w:hAnsi="Verdana"/>
          <w:szCs w:val="23"/>
        </w:rPr>
        <w:t xml:space="preserve">June 2023 </w:t>
      </w:r>
      <w:r>
        <w:rPr>
          <w:rFonts w:ascii="Verdana" w:hAnsi="Verdana"/>
          <w:szCs w:val="23"/>
        </w:rPr>
        <w:t xml:space="preserve">relating to </w:t>
      </w:r>
      <w:r w:rsidRPr="00A6361F">
        <w:rPr>
          <w:rFonts w:ascii="Verdana" w:hAnsi="Verdana"/>
          <w:szCs w:val="23"/>
        </w:rPr>
        <w:t xml:space="preserve">Diabetic Eye Screening Wales </w:t>
      </w:r>
      <w:r>
        <w:rPr>
          <w:rFonts w:ascii="Verdana" w:hAnsi="Verdana"/>
          <w:szCs w:val="23"/>
        </w:rPr>
        <w:t xml:space="preserve">and the </w:t>
      </w:r>
      <w:r w:rsidRPr="00A6361F">
        <w:rPr>
          <w:rFonts w:ascii="Verdana" w:hAnsi="Verdana"/>
          <w:szCs w:val="23"/>
        </w:rPr>
        <w:t>dissatisfaction with the lack of screening venues in the service user’s local area. The complaint was acknowledged within the two working day timeframe and is now under investigation.</w:t>
      </w:r>
      <w:r>
        <w:rPr>
          <w:rFonts w:ascii="Verdana" w:hAnsi="Verdana"/>
          <w:szCs w:val="23"/>
        </w:rPr>
        <w:t xml:space="preserve"> </w:t>
      </w:r>
      <w:r w:rsidRPr="00A6361F">
        <w:rPr>
          <w:rFonts w:ascii="Verdana" w:hAnsi="Verdana"/>
          <w:szCs w:val="23"/>
        </w:rPr>
        <w:t>The two formal complaints received in May 2023 have been acknowledged and responded to within the 30-working day target.</w:t>
      </w:r>
    </w:p>
    <w:p w14:paraId="0F805620" w14:textId="77777777" w:rsidR="003A2499" w:rsidRDefault="003A2499" w:rsidP="0007180F">
      <w:pPr>
        <w:pStyle w:val="TableParagraph"/>
        <w:spacing w:after="60" w:line="20" w:lineRule="atLeast"/>
        <w:ind w:right="-330"/>
        <w:jc w:val="left"/>
        <w:rPr>
          <w:rFonts w:ascii="Verdana" w:hAnsi="Verdana"/>
          <w:sz w:val="23"/>
          <w:szCs w:val="23"/>
        </w:rPr>
      </w:pPr>
    </w:p>
    <w:p w14:paraId="4974C977" w14:textId="77777777" w:rsidR="003A2499" w:rsidRPr="00A6361F" w:rsidRDefault="003A2499" w:rsidP="00A6361F">
      <w:pPr>
        <w:pStyle w:val="TableParagraph"/>
        <w:spacing w:before="120" w:after="200" w:line="20" w:lineRule="atLeast"/>
        <w:ind w:left="567"/>
        <w:jc w:val="left"/>
        <w:rPr>
          <w:rFonts w:ascii="Verdana" w:hAnsi="Verdana"/>
          <w:b/>
          <w:i/>
          <w:szCs w:val="23"/>
          <w:lang w:val="en-GB"/>
        </w:rPr>
      </w:pPr>
      <w:r w:rsidRPr="00A6361F">
        <w:rPr>
          <w:rFonts w:ascii="Verdana" w:hAnsi="Verdana"/>
          <w:b/>
          <w:i/>
          <w:szCs w:val="23"/>
          <w:lang w:val="en-GB"/>
        </w:rPr>
        <w:t>Strategy Delivery</w:t>
      </w:r>
    </w:p>
    <w:p w14:paraId="2061AAC8" w14:textId="77777777" w:rsidR="00DF3CB5" w:rsidRDefault="00DF3CB5" w:rsidP="00DF3CB5">
      <w:pPr>
        <w:pStyle w:val="TableParagraph"/>
        <w:numPr>
          <w:ilvl w:val="0"/>
          <w:numId w:val="10"/>
        </w:numPr>
        <w:spacing w:after="60" w:line="20" w:lineRule="atLeast"/>
        <w:ind w:left="851" w:right="-330" w:hanging="291"/>
        <w:jc w:val="left"/>
        <w:rPr>
          <w:rFonts w:ascii="Verdana" w:hAnsi="Verdana"/>
          <w:szCs w:val="23"/>
        </w:rPr>
      </w:pPr>
      <w:r w:rsidRPr="00DF3CB5">
        <w:rPr>
          <w:rFonts w:ascii="Verdana" w:hAnsi="Verdana"/>
          <w:szCs w:val="23"/>
        </w:rPr>
        <w:t xml:space="preserve">Month 3 of IMTP 2023/24 reporting shows </w:t>
      </w:r>
      <w:r w:rsidR="00360A68">
        <w:rPr>
          <w:rFonts w:ascii="Verdana" w:hAnsi="Verdana"/>
          <w:szCs w:val="23"/>
        </w:rPr>
        <w:t xml:space="preserve">over </w:t>
      </w:r>
      <w:r w:rsidRPr="00DF3CB5">
        <w:rPr>
          <w:rFonts w:ascii="Verdana" w:hAnsi="Verdana"/>
          <w:szCs w:val="23"/>
        </w:rPr>
        <w:t>92% of all milestones are currently reported as on track or complete</w:t>
      </w:r>
      <w:r w:rsidR="00360A68">
        <w:rPr>
          <w:rFonts w:ascii="Verdana" w:hAnsi="Verdana"/>
          <w:szCs w:val="23"/>
        </w:rPr>
        <w:t xml:space="preserve"> (down </w:t>
      </w:r>
      <w:r w:rsidRPr="00DF3CB5">
        <w:rPr>
          <w:rFonts w:ascii="Verdana" w:hAnsi="Verdana"/>
          <w:szCs w:val="23"/>
        </w:rPr>
        <w:t>0.7% from last month</w:t>
      </w:r>
      <w:r w:rsidR="00360A68">
        <w:rPr>
          <w:rFonts w:ascii="Verdana" w:hAnsi="Verdana"/>
          <w:szCs w:val="23"/>
        </w:rPr>
        <w:t>)</w:t>
      </w:r>
      <w:r w:rsidRPr="00DF3CB5">
        <w:rPr>
          <w:rFonts w:ascii="Verdana" w:hAnsi="Verdana"/>
          <w:szCs w:val="23"/>
        </w:rPr>
        <w:t>. There were an additional 40 milestones completed, bringing the total complete to 54 milestones, 16.8% of the plan.</w:t>
      </w:r>
      <w:r>
        <w:rPr>
          <w:rFonts w:ascii="Verdana" w:hAnsi="Verdana"/>
          <w:szCs w:val="23"/>
        </w:rPr>
        <w:t xml:space="preserve"> </w:t>
      </w:r>
      <w:r w:rsidRPr="00DF3CB5">
        <w:rPr>
          <w:rFonts w:ascii="Verdana" w:hAnsi="Verdana"/>
          <w:szCs w:val="23"/>
        </w:rPr>
        <w:t>The profile of the plan over the full year shows that 83% of milestones due to be delivered in Quarter 1 are now complete. The remaining 9 milestones are either awaiting requests for change (RFC) approval or will be delivered later than expected.</w:t>
      </w:r>
    </w:p>
    <w:p w14:paraId="5DE1783F" w14:textId="77777777" w:rsidR="00DF3CB5" w:rsidRDefault="00DF3CB5" w:rsidP="00DF3CB5">
      <w:pPr>
        <w:pStyle w:val="TableParagraph"/>
        <w:numPr>
          <w:ilvl w:val="0"/>
          <w:numId w:val="10"/>
        </w:numPr>
        <w:spacing w:after="60" w:line="20" w:lineRule="atLeast"/>
        <w:ind w:left="851" w:right="-330" w:hanging="291"/>
        <w:jc w:val="left"/>
        <w:rPr>
          <w:rFonts w:ascii="Verdana" w:hAnsi="Verdana"/>
          <w:szCs w:val="23"/>
        </w:rPr>
      </w:pPr>
      <w:r w:rsidRPr="00DF3CB5">
        <w:rPr>
          <w:rFonts w:ascii="Verdana" w:hAnsi="Verdana"/>
          <w:szCs w:val="23"/>
        </w:rPr>
        <w:t>Thirteen requests for change were received in month three (see Annex for further detail). Two requests to suspend milestones require additional attention due to their importance. Six requests for a date change and five for a scope and date change, one of which pushes delivery to March 2025.</w:t>
      </w:r>
    </w:p>
    <w:p w14:paraId="2DCEEE91" w14:textId="77777777" w:rsidR="00DF3CB5" w:rsidRDefault="00DF3CB5" w:rsidP="00DF3CB5">
      <w:pPr>
        <w:pStyle w:val="TableParagraph"/>
        <w:numPr>
          <w:ilvl w:val="0"/>
          <w:numId w:val="10"/>
        </w:numPr>
        <w:spacing w:after="60" w:line="20" w:lineRule="atLeast"/>
        <w:ind w:left="851" w:right="-330" w:hanging="291"/>
        <w:jc w:val="left"/>
        <w:rPr>
          <w:rFonts w:ascii="Verdana" w:hAnsi="Verdana"/>
          <w:szCs w:val="23"/>
        </w:rPr>
      </w:pPr>
      <w:r w:rsidRPr="00DF3CB5">
        <w:rPr>
          <w:rFonts w:ascii="Verdana" w:hAnsi="Verdana"/>
          <w:szCs w:val="23"/>
        </w:rPr>
        <w:t xml:space="preserve">So far this year 9% of milestones have received an RFC, an average of 10 per month. There have been 23 milestone date changes, moving delivery to later in the year. In summary, 12 milestones moved out of Quarter 1 to later in the year, and each of the remaining quarters have a net increase in milestones. If this continues at the same rate, 25% of all milestones will be delivered later than planned, causing significant </w:t>
      </w:r>
      <w:r>
        <w:rPr>
          <w:rFonts w:ascii="Verdana" w:hAnsi="Verdana"/>
          <w:szCs w:val="23"/>
        </w:rPr>
        <w:t>challenges</w:t>
      </w:r>
      <w:r w:rsidRPr="00DF3CB5">
        <w:rPr>
          <w:rFonts w:ascii="Verdana" w:hAnsi="Verdana"/>
          <w:szCs w:val="23"/>
        </w:rPr>
        <w:t xml:space="preserve"> in later months.</w:t>
      </w:r>
    </w:p>
    <w:p w14:paraId="76A2F6CE" w14:textId="77777777" w:rsidR="00DF3CB5" w:rsidRDefault="00DF3CB5" w:rsidP="00DF3CB5">
      <w:pPr>
        <w:pStyle w:val="TableParagraph"/>
        <w:numPr>
          <w:ilvl w:val="0"/>
          <w:numId w:val="10"/>
        </w:numPr>
        <w:spacing w:after="60" w:line="20" w:lineRule="atLeast"/>
        <w:ind w:left="851" w:right="-330" w:hanging="291"/>
        <w:jc w:val="left"/>
        <w:rPr>
          <w:rFonts w:ascii="Verdana" w:hAnsi="Verdana"/>
          <w:szCs w:val="23"/>
        </w:rPr>
      </w:pPr>
      <w:r w:rsidRPr="00DF3CB5">
        <w:rPr>
          <w:rFonts w:ascii="Verdana" w:hAnsi="Verdana"/>
          <w:szCs w:val="23"/>
        </w:rPr>
        <w:t>On average, an RFC to change the delivery date is requested 2.7 months before the original delivery date of the milestone. This, along with the fact that 92% of milestones reported as red, were reported as green in the previous month shows a lack of medium-term planning to identify risk and take action early and could mean missed opportunities to mitigate delays and further delaying the plan overall.</w:t>
      </w:r>
    </w:p>
    <w:p w14:paraId="64E33DA3" w14:textId="77777777" w:rsidR="00DF3CB5" w:rsidRPr="00DF3CB5" w:rsidRDefault="00DF3CB5" w:rsidP="00DF3CB5">
      <w:pPr>
        <w:pStyle w:val="TableParagraph"/>
        <w:numPr>
          <w:ilvl w:val="0"/>
          <w:numId w:val="10"/>
        </w:numPr>
        <w:spacing w:after="60" w:line="20" w:lineRule="atLeast"/>
        <w:ind w:left="851" w:right="-330" w:hanging="291"/>
        <w:jc w:val="left"/>
        <w:rPr>
          <w:rFonts w:ascii="Verdana" w:hAnsi="Verdana"/>
          <w:szCs w:val="23"/>
        </w:rPr>
      </w:pPr>
      <w:r w:rsidRPr="00DF3CB5">
        <w:rPr>
          <w:rFonts w:ascii="Verdana" w:hAnsi="Verdana"/>
          <w:szCs w:val="23"/>
        </w:rPr>
        <w:t xml:space="preserve">Quarter 2 is the second largest </w:t>
      </w:r>
      <w:r>
        <w:rPr>
          <w:rFonts w:ascii="Verdana" w:hAnsi="Verdana"/>
          <w:szCs w:val="23"/>
        </w:rPr>
        <w:t>period</w:t>
      </w:r>
      <w:r w:rsidRPr="00DF3CB5">
        <w:rPr>
          <w:rFonts w:ascii="Verdana" w:hAnsi="Verdana"/>
          <w:szCs w:val="23"/>
        </w:rPr>
        <w:t xml:space="preserve"> for milestone delivery after Quarter 4, with 23% of milestones due. Currently, 85.4% of Quarter 2 milestones are reporting as </w:t>
      </w:r>
      <w:r>
        <w:rPr>
          <w:rFonts w:ascii="Verdana" w:hAnsi="Verdana"/>
          <w:szCs w:val="23"/>
        </w:rPr>
        <w:t>on track</w:t>
      </w:r>
      <w:r w:rsidRPr="00DF3CB5">
        <w:rPr>
          <w:rFonts w:ascii="Verdana" w:hAnsi="Verdana"/>
          <w:szCs w:val="23"/>
        </w:rPr>
        <w:t xml:space="preserve"> or </w:t>
      </w:r>
      <w:r>
        <w:rPr>
          <w:rFonts w:ascii="Verdana" w:hAnsi="Verdana"/>
          <w:szCs w:val="23"/>
        </w:rPr>
        <w:t>c</w:t>
      </w:r>
      <w:r w:rsidRPr="00DF3CB5">
        <w:rPr>
          <w:rFonts w:ascii="Verdana" w:hAnsi="Verdana"/>
          <w:szCs w:val="23"/>
        </w:rPr>
        <w:t>omplete, with the remaining 14.6% already at risk.</w:t>
      </w:r>
    </w:p>
    <w:p w14:paraId="7CC07957" w14:textId="77777777" w:rsidR="00DF3CB5" w:rsidRDefault="00DF3CB5" w:rsidP="00360A68">
      <w:pPr>
        <w:pStyle w:val="TableParagraph"/>
        <w:spacing w:before="120" w:after="200" w:line="20" w:lineRule="atLeast"/>
        <w:ind w:right="80"/>
        <w:jc w:val="left"/>
        <w:rPr>
          <w:rFonts w:ascii="Verdana" w:eastAsia="Verdana" w:hAnsi="Verdana" w:cstheme="minorBidi"/>
          <w:szCs w:val="23"/>
          <w:lang w:val="en-GB"/>
        </w:rPr>
      </w:pPr>
    </w:p>
    <w:p w14:paraId="7EFC0AB8" w14:textId="77777777" w:rsidR="00297FB6" w:rsidRPr="00A6361F" w:rsidRDefault="00297FB6" w:rsidP="00297FB6">
      <w:pPr>
        <w:pStyle w:val="TableParagraph"/>
        <w:spacing w:before="120" w:after="200" w:line="20" w:lineRule="atLeast"/>
        <w:ind w:left="567" w:right="80"/>
        <w:jc w:val="left"/>
        <w:rPr>
          <w:rFonts w:ascii="Verdana" w:eastAsia="Verdana" w:hAnsi="Verdana" w:cstheme="minorBidi"/>
          <w:szCs w:val="23"/>
          <w:lang w:val="en-GB"/>
        </w:rPr>
      </w:pPr>
      <w:r w:rsidRPr="00A6361F">
        <w:rPr>
          <w:rFonts w:ascii="Verdana" w:eastAsia="Verdana" w:hAnsi="Verdana" w:cstheme="minorBidi"/>
          <w:szCs w:val="23"/>
          <w:lang w:val="en-GB"/>
        </w:rPr>
        <w:t>Further insights from the Performance and Assurance Dashboard can be found on page</w:t>
      </w:r>
      <w:r w:rsidR="00AD3A69" w:rsidRPr="00A6361F">
        <w:rPr>
          <w:rFonts w:ascii="Verdana" w:eastAsia="Verdana" w:hAnsi="Verdana" w:cstheme="minorBidi"/>
          <w:szCs w:val="23"/>
          <w:lang w:val="en-GB"/>
        </w:rPr>
        <w:t>s</w:t>
      </w:r>
      <w:r w:rsidRPr="00A6361F">
        <w:rPr>
          <w:rFonts w:ascii="Verdana" w:eastAsia="Verdana" w:hAnsi="Verdana" w:cstheme="minorBidi"/>
          <w:szCs w:val="23"/>
          <w:lang w:val="en-GB"/>
        </w:rPr>
        <w:t xml:space="preserve"> 2</w:t>
      </w:r>
      <w:r w:rsidR="00AD3A69" w:rsidRPr="00A6361F">
        <w:rPr>
          <w:rFonts w:ascii="Verdana" w:eastAsia="Verdana" w:hAnsi="Verdana" w:cstheme="minorBidi"/>
          <w:szCs w:val="23"/>
          <w:lang w:val="en-GB"/>
        </w:rPr>
        <w:t>-3, namely</w:t>
      </w:r>
      <w:r w:rsidRPr="00A6361F">
        <w:rPr>
          <w:rFonts w:ascii="Verdana" w:eastAsia="Verdana" w:hAnsi="Verdana" w:cstheme="minorBidi"/>
          <w:szCs w:val="23"/>
          <w:lang w:val="en-GB"/>
        </w:rPr>
        <w:t xml:space="preserve"> </w:t>
      </w:r>
      <w:r w:rsidRPr="00A6361F">
        <w:rPr>
          <w:rFonts w:ascii="Verdana" w:eastAsia="Verdana" w:hAnsi="Verdana" w:cstheme="minorBidi"/>
          <w:i/>
          <w:szCs w:val="23"/>
          <w:lang w:val="en-GB"/>
        </w:rPr>
        <w:t>Key Pe</w:t>
      </w:r>
      <w:r w:rsidR="005E23C5" w:rsidRPr="00A6361F">
        <w:rPr>
          <w:rFonts w:ascii="Verdana" w:eastAsia="Verdana" w:hAnsi="Verdana" w:cstheme="minorBidi"/>
          <w:i/>
          <w:szCs w:val="23"/>
          <w:lang w:val="en-GB"/>
        </w:rPr>
        <w:t>rformance and Insights S</w:t>
      </w:r>
      <w:r w:rsidRPr="00A6361F">
        <w:rPr>
          <w:rFonts w:ascii="Verdana" w:eastAsia="Verdana" w:hAnsi="Verdana" w:cstheme="minorBidi"/>
          <w:i/>
          <w:szCs w:val="23"/>
          <w:lang w:val="en-GB"/>
        </w:rPr>
        <w:t>ummary</w:t>
      </w:r>
      <w:r w:rsidRPr="00A6361F">
        <w:rPr>
          <w:rFonts w:ascii="Verdana" w:eastAsia="Verdana" w:hAnsi="Verdana" w:cstheme="minorBidi"/>
          <w:szCs w:val="23"/>
          <w:lang w:val="en-GB"/>
        </w:rPr>
        <w:t>.</w:t>
      </w:r>
    </w:p>
    <w:p w14:paraId="26342876" w14:textId="77777777" w:rsidR="00ED31F4" w:rsidRPr="00A6361F" w:rsidRDefault="00297FB6" w:rsidP="00ED31F4">
      <w:pPr>
        <w:spacing w:after="0" w:line="240" w:lineRule="auto"/>
        <w:ind w:left="567"/>
        <w:rPr>
          <w:rFonts w:ascii="Verdana" w:hAnsi="Verdana"/>
          <w:szCs w:val="23"/>
        </w:rPr>
      </w:pPr>
      <w:r w:rsidRPr="00A6361F">
        <w:rPr>
          <w:rFonts w:ascii="Verdana" w:hAnsi="Verdana"/>
          <w:szCs w:val="23"/>
        </w:rPr>
        <w:t>P</w:t>
      </w:r>
      <w:r w:rsidR="00ED31F4" w:rsidRPr="00A6361F">
        <w:rPr>
          <w:rFonts w:ascii="Verdana" w:hAnsi="Verdana"/>
          <w:szCs w:val="23"/>
        </w:rPr>
        <w:t xml:space="preserve">erformance and Assurance Dashboard </w:t>
      </w:r>
      <w:r w:rsidR="00ED31F4" w:rsidRPr="00A6361F">
        <w:rPr>
          <w:rFonts w:ascii="Verdana" w:hAnsi="Verdana"/>
          <w:i/>
          <w:szCs w:val="23"/>
        </w:rPr>
        <w:t>(not publically available)</w:t>
      </w:r>
    </w:p>
    <w:p w14:paraId="3A00F4D5" w14:textId="77777777" w:rsidR="00297FB6" w:rsidRDefault="00D3332F" w:rsidP="00EE59B4">
      <w:pPr>
        <w:spacing w:after="0" w:line="240" w:lineRule="auto"/>
        <w:ind w:left="567" w:right="-45"/>
        <w:jc w:val="both"/>
      </w:pPr>
      <w:hyperlink r:id="rId17" w:anchor="1" w:history="1">
        <w:r w:rsidR="002B182A" w:rsidRPr="00AF06E9">
          <w:rPr>
            <w:rStyle w:val="Hyperlink"/>
          </w:rPr>
          <w:t>https://phw-tableau.cymru.nhs.uk/t/CorporateAnalyticsPreProduction/views/RecoveryDashboardLandingPage/LandingPage?:linktarget=_self&amp;:embed=yes#1</w:t>
        </w:r>
      </w:hyperlink>
      <w:r w:rsidR="002B182A">
        <w:t xml:space="preserve"> </w:t>
      </w:r>
    </w:p>
    <w:p w14:paraId="51BD7189" w14:textId="77777777" w:rsidR="00A96CF1" w:rsidRPr="0065340E" w:rsidRDefault="00A96CF1" w:rsidP="00EE59B4">
      <w:pPr>
        <w:spacing w:after="0" w:line="240" w:lineRule="auto"/>
        <w:ind w:left="567" w:right="-45"/>
        <w:jc w:val="both"/>
        <w:rPr>
          <w:sz w:val="12"/>
        </w:rPr>
      </w:pPr>
    </w:p>
    <w:p w14:paraId="6BB96CA8" w14:textId="77777777" w:rsidR="00A96CF1" w:rsidRPr="00A6361F" w:rsidRDefault="00A96CF1" w:rsidP="00EE59B4">
      <w:pPr>
        <w:spacing w:after="0" w:line="240" w:lineRule="auto"/>
        <w:ind w:left="567" w:right="-45"/>
        <w:jc w:val="both"/>
        <w:rPr>
          <w:rFonts w:ascii="Verdana" w:hAnsi="Verdana"/>
          <w:i/>
          <w:szCs w:val="23"/>
        </w:rPr>
      </w:pPr>
      <w:r w:rsidRPr="00A6361F">
        <w:rPr>
          <w:rFonts w:ascii="Verdana" w:hAnsi="Verdana"/>
          <w:szCs w:val="23"/>
        </w:rPr>
        <w:t>Public Health Rapid Overview Dashboard (</w:t>
      </w:r>
      <w:r w:rsidR="001406DC" w:rsidRPr="00A6361F">
        <w:rPr>
          <w:rFonts w:ascii="Verdana" w:hAnsi="Verdana"/>
          <w:i/>
          <w:szCs w:val="23"/>
        </w:rPr>
        <w:t>not publically available</w:t>
      </w:r>
      <w:r w:rsidRPr="00A6361F">
        <w:rPr>
          <w:rFonts w:ascii="Verdana" w:hAnsi="Verdana"/>
          <w:i/>
          <w:szCs w:val="23"/>
        </w:rPr>
        <w:t>)</w:t>
      </w:r>
    </w:p>
    <w:p w14:paraId="438A6BB5" w14:textId="77777777" w:rsidR="00DC01C5" w:rsidRDefault="00D3332F" w:rsidP="00FB60D9">
      <w:pPr>
        <w:spacing w:after="0" w:line="240" w:lineRule="auto"/>
        <w:ind w:left="567" w:right="-45"/>
        <w:jc w:val="both"/>
        <w:rPr>
          <w:rStyle w:val="Hyperlink"/>
        </w:rPr>
      </w:pPr>
      <w:hyperlink r:id="rId18" w:history="1">
        <w:r w:rsidR="001406DC" w:rsidRPr="00EB6FA8">
          <w:rPr>
            <w:rStyle w:val="Hyperlink"/>
          </w:rPr>
          <w:t>Public Health Rapid Overview Dashboard</w:t>
        </w:r>
      </w:hyperlink>
    </w:p>
    <w:p w14:paraId="3052D034" w14:textId="77777777" w:rsidR="00A6361F" w:rsidRDefault="00A6361F" w:rsidP="00FB60D9">
      <w:pPr>
        <w:spacing w:after="0" w:line="240" w:lineRule="auto"/>
        <w:ind w:left="567" w:right="-45"/>
        <w:jc w:val="both"/>
        <w:rPr>
          <w:rStyle w:val="Hyperlink"/>
        </w:rPr>
      </w:pPr>
    </w:p>
    <w:p w14:paraId="740A1F5F" w14:textId="77777777" w:rsidR="00DF3CB5" w:rsidRPr="001406DC" w:rsidRDefault="00DF3CB5" w:rsidP="00DF3CB5">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Pr>
          <w:rFonts w:ascii="Verdana" w:eastAsiaTheme="majorEastAsia" w:hAnsi="Verdana" w:cstheme="majorBidi"/>
          <w:b/>
          <w:bCs/>
          <w:sz w:val="24"/>
          <w:szCs w:val="24"/>
        </w:rPr>
        <w:t>Future Developments</w:t>
      </w:r>
    </w:p>
    <w:p w14:paraId="43628077" w14:textId="77777777" w:rsidR="00DF3CB5" w:rsidRPr="00DF3CB5" w:rsidRDefault="00DF3CB5" w:rsidP="00C52823">
      <w:pPr>
        <w:spacing w:after="0" w:line="240" w:lineRule="auto"/>
        <w:jc w:val="both"/>
        <w:rPr>
          <w:rFonts w:ascii="Verdana" w:eastAsia="Verdana" w:hAnsi="Verdana"/>
          <w:b/>
          <w:sz w:val="24"/>
          <w:szCs w:val="24"/>
        </w:rPr>
      </w:pPr>
    </w:p>
    <w:p w14:paraId="34E71FEF" w14:textId="77777777" w:rsidR="00A656EB" w:rsidRDefault="00360A68" w:rsidP="00360A68">
      <w:pPr>
        <w:pStyle w:val="TableParagraph"/>
        <w:spacing w:before="120" w:after="120" w:line="20" w:lineRule="atLeast"/>
        <w:ind w:left="567"/>
        <w:jc w:val="both"/>
        <w:rPr>
          <w:rFonts w:ascii="Verdana" w:eastAsia="Verdana" w:hAnsi="Verdana" w:cstheme="minorBidi"/>
          <w:lang w:val="en-GB"/>
        </w:rPr>
      </w:pPr>
      <w:r w:rsidRPr="00360A68">
        <w:rPr>
          <w:rFonts w:ascii="Verdana" w:eastAsia="Verdana" w:hAnsi="Verdana" w:cstheme="minorBidi"/>
          <w:lang w:val="en-GB"/>
        </w:rPr>
        <w:t xml:space="preserve">Having strengthened our performance reporting arrangements during the COVID-19 pandemic through the successful development and implementation of the PAD and the accompanying Performance and Insight Report, further work is in train to develop our suite of products further with the aim of providing additional assurance to our Board and to support </w:t>
      </w:r>
      <w:r w:rsidR="00C527F7">
        <w:rPr>
          <w:rFonts w:ascii="Verdana" w:eastAsia="Verdana" w:hAnsi="Verdana" w:cstheme="minorBidi"/>
          <w:lang w:val="en-GB"/>
        </w:rPr>
        <w:t xml:space="preserve">effective </w:t>
      </w:r>
      <w:r w:rsidRPr="00360A68">
        <w:rPr>
          <w:rFonts w:ascii="Verdana" w:eastAsia="Verdana" w:hAnsi="Verdana" w:cstheme="minorBidi"/>
          <w:lang w:val="en-GB"/>
        </w:rPr>
        <w:t>decision making.</w:t>
      </w:r>
      <w:r w:rsidRPr="00A6361F">
        <w:rPr>
          <w:rFonts w:ascii="Verdana" w:eastAsia="Verdana" w:hAnsi="Verdana" w:cstheme="minorBidi"/>
          <w:lang w:val="en-GB"/>
        </w:rPr>
        <w:t xml:space="preserve"> </w:t>
      </w:r>
    </w:p>
    <w:p w14:paraId="21C0F156" w14:textId="77777777" w:rsidR="00555B92" w:rsidRDefault="00A656EB" w:rsidP="00555B92">
      <w:pPr>
        <w:pStyle w:val="TableParagraph"/>
        <w:spacing w:before="120" w:after="120" w:line="20" w:lineRule="atLeast"/>
        <w:ind w:left="567"/>
        <w:jc w:val="both"/>
        <w:rPr>
          <w:rFonts w:ascii="Verdana" w:eastAsia="Verdana" w:hAnsi="Verdana" w:cstheme="minorBidi"/>
          <w:lang w:val="en-GB"/>
        </w:rPr>
      </w:pPr>
      <w:r>
        <w:rPr>
          <w:rFonts w:ascii="Verdana" w:eastAsia="Verdana" w:hAnsi="Verdana" w:cstheme="minorBidi"/>
          <w:lang w:val="en-GB"/>
        </w:rPr>
        <w:t>Planned improvements</w:t>
      </w:r>
      <w:r w:rsidR="00611EAB">
        <w:rPr>
          <w:rFonts w:ascii="Verdana" w:eastAsia="Verdana" w:hAnsi="Verdana" w:cstheme="minorBidi"/>
          <w:lang w:val="en-GB"/>
        </w:rPr>
        <w:t xml:space="preserve"> for the end of Quarter 2 2023/2</w:t>
      </w:r>
      <w:r>
        <w:rPr>
          <w:rFonts w:ascii="Verdana" w:eastAsia="Verdana" w:hAnsi="Verdana" w:cstheme="minorBidi"/>
          <w:lang w:val="en-GB"/>
        </w:rPr>
        <w:t>4 include a refreshed user focused P</w:t>
      </w:r>
      <w:r w:rsidR="00555B92">
        <w:rPr>
          <w:rFonts w:ascii="Verdana" w:eastAsia="Verdana" w:hAnsi="Verdana" w:cstheme="minorBidi"/>
          <w:lang w:val="en-GB"/>
        </w:rPr>
        <w:t>AD</w:t>
      </w:r>
      <w:r>
        <w:rPr>
          <w:rFonts w:ascii="Verdana" w:eastAsia="Verdana" w:hAnsi="Verdana" w:cstheme="minorBidi"/>
          <w:lang w:val="en-GB"/>
        </w:rPr>
        <w:t xml:space="preserve">, phase 2 developments to the </w:t>
      </w:r>
      <w:r w:rsidR="00555B92">
        <w:rPr>
          <w:rFonts w:ascii="Verdana" w:eastAsia="Verdana" w:hAnsi="Verdana" w:cstheme="minorBidi"/>
          <w:lang w:val="en-GB"/>
        </w:rPr>
        <w:t>supporting insights report</w:t>
      </w:r>
      <w:r>
        <w:rPr>
          <w:rFonts w:ascii="Verdana" w:eastAsia="Verdana" w:hAnsi="Verdana" w:cstheme="minorBidi"/>
          <w:lang w:val="en-GB"/>
        </w:rPr>
        <w:t xml:space="preserve"> to capture a greater breadth of performance information across the organisation, and increased alignment of our rep</w:t>
      </w:r>
      <w:r w:rsidR="00611EAB">
        <w:rPr>
          <w:rFonts w:ascii="Verdana" w:eastAsia="Verdana" w:hAnsi="Verdana" w:cstheme="minorBidi"/>
          <w:lang w:val="en-GB"/>
        </w:rPr>
        <w:t>orting to our Board Committees.</w:t>
      </w:r>
    </w:p>
    <w:p w14:paraId="01F73E19" w14:textId="77777777" w:rsidR="00555B92" w:rsidRDefault="00555B92" w:rsidP="00555B92">
      <w:pPr>
        <w:pStyle w:val="TableParagraph"/>
        <w:spacing w:before="120" w:after="120" w:line="20" w:lineRule="atLeast"/>
        <w:ind w:left="567"/>
        <w:jc w:val="both"/>
        <w:rPr>
          <w:rFonts w:ascii="Verdana" w:eastAsia="Verdana" w:hAnsi="Verdana" w:cstheme="minorBidi"/>
          <w:lang w:val="en-GB"/>
        </w:rPr>
      </w:pPr>
      <w:r>
        <w:rPr>
          <w:rFonts w:ascii="Verdana" w:eastAsia="Verdana" w:hAnsi="Verdana" w:cstheme="minorBidi"/>
          <w:lang w:val="en-GB"/>
        </w:rPr>
        <w:t xml:space="preserve">Following the release of the NHS Wales Performance Framework 2023/24 by Welsh Government, </w:t>
      </w:r>
      <w:r w:rsidRPr="00555B92">
        <w:rPr>
          <w:rFonts w:ascii="Verdana" w:eastAsia="Verdana" w:hAnsi="Verdana" w:cstheme="minorBidi"/>
          <w:lang w:val="en-GB"/>
        </w:rPr>
        <w:t>an appraisal will be undertaken by the Performance and Value Team to ensure compliance with the key reporting measures that are applicable to Public Health Wales.</w:t>
      </w:r>
      <w:r>
        <w:rPr>
          <w:rFonts w:ascii="Verdana" w:eastAsia="Verdana" w:hAnsi="Verdana" w:cstheme="minorBidi"/>
          <w:lang w:val="en-GB"/>
        </w:rPr>
        <w:t xml:space="preserve"> </w:t>
      </w:r>
    </w:p>
    <w:p w14:paraId="0515EDFF" w14:textId="77777777" w:rsidR="00555B92" w:rsidRDefault="00A656EB" w:rsidP="00364148">
      <w:pPr>
        <w:pStyle w:val="TableParagraph"/>
        <w:spacing w:before="120" w:after="120" w:line="20" w:lineRule="atLeast"/>
        <w:ind w:left="567"/>
        <w:jc w:val="both"/>
        <w:rPr>
          <w:rFonts w:ascii="Verdana" w:eastAsia="Verdana" w:hAnsi="Verdana" w:cstheme="minorBidi"/>
          <w:lang w:val="en-GB"/>
        </w:rPr>
      </w:pPr>
      <w:r>
        <w:rPr>
          <w:rFonts w:ascii="Verdana" w:eastAsia="Verdana" w:hAnsi="Verdana" w:cstheme="minorBidi"/>
          <w:lang w:val="en-GB"/>
        </w:rPr>
        <w:t xml:space="preserve">Governance arrangements will also be </w:t>
      </w:r>
      <w:r w:rsidR="00555B92">
        <w:rPr>
          <w:rFonts w:ascii="Verdana" w:eastAsia="Verdana" w:hAnsi="Verdana" w:cstheme="minorBidi"/>
          <w:lang w:val="en-GB"/>
        </w:rPr>
        <w:t xml:space="preserve">further </w:t>
      </w:r>
      <w:r>
        <w:rPr>
          <w:rFonts w:ascii="Verdana" w:eastAsia="Verdana" w:hAnsi="Verdana" w:cstheme="minorBidi"/>
          <w:lang w:val="en-GB"/>
        </w:rPr>
        <w:t xml:space="preserve">strengthened </w:t>
      </w:r>
      <w:r w:rsidR="00555B92">
        <w:rPr>
          <w:rFonts w:ascii="Verdana" w:eastAsia="Verdana" w:hAnsi="Verdana" w:cstheme="minorBidi"/>
          <w:lang w:val="en-GB"/>
        </w:rPr>
        <w:t xml:space="preserve">over the coming months </w:t>
      </w:r>
      <w:r>
        <w:rPr>
          <w:rFonts w:ascii="Verdana" w:eastAsia="Verdana" w:hAnsi="Verdana" w:cstheme="minorBidi"/>
          <w:lang w:val="en-GB"/>
        </w:rPr>
        <w:t>with the establishment of new Strategic and Technical groups to support the development and implementation of performance manage</w:t>
      </w:r>
      <w:r w:rsidR="00611EAB">
        <w:rPr>
          <w:rFonts w:ascii="Verdana" w:eastAsia="Verdana" w:hAnsi="Verdana" w:cstheme="minorBidi"/>
          <w:lang w:val="en-GB"/>
        </w:rPr>
        <w:t>ment and reporting arrangements beyond those initially planned for Quarter 2 2023/24.</w:t>
      </w:r>
    </w:p>
    <w:p w14:paraId="355809DC" w14:textId="77777777" w:rsidR="00364148" w:rsidRPr="00555B92" w:rsidRDefault="00555B92" w:rsidP="00555B92">
      <w:pPr>
        <w:pStyle w:val="TableParagraph"/>
        <w:spacing w:before="120" w:after="120" w:line="20" w:lineRule="atLeast"/>
        <w:ind w:left="567"/>
        <w:jc w:val="both"/>
        <w:rPr>
          <w:rFonts w:ascii="Verdana" w:eastAsia="Verdana" w:hAnsi="Verdana" w:cstheme="minorBidi"/>
          <w:lang w:val="en-GB"/>
        </w:rPr>
      </w:pPr>
      <w:r w:rsidRPr="00555B92">
        <w:rPr>
          <w:rFonts w:ascii="Verdana" w:eastAsia="Verdana" w:hAnsi="Verdana" w:cstheme="minorBidi"/>
          <w:lang w:val="en-GB"/>
        </w:rPr>
        <w:t>In addition, a</w:t>
      </w:r>
      <w:r w:rsidR="00364148" w:rsidRPr="00555B92">
        <w:rPr>
          <w:rFonts w:ascii="Verdana" w:eastAsia="Verdana" w:hAnsi="Verdana" w:cstheme="minorBidi"/>
          <w:lang w:val="en-GB"/>
        </w:rPr>
        <w:t xml:space="preserve">s part of the development of the Board Assurance Framework, work is ongoing to map the areas of the </w:t>
      </w:r>
      <w:r w:rsidRPr="00555B92">
        <w:rPr>
          <w:rFonts w:ascii="Verdana" w:eastAsia="Verdana" w:hAnsi="Verdana" w:cstheme="minorBidi"/>
          <w:lang w:val="en-GB"/>
        </w:rPr>
        <w:t xml:space="preserve">PAD </w:t>
      </w:r>
      <w:r w:rsidR="00364148" w:rsidRPr="00555B92">
        <w:rPr>
          <w:rFonts w:ascii="Verdana" w:eastAsia="Verdana" w:hAnsi="Verdana" w:cstheme="minorBidi"/>
          <w:lang w:val="en-GB"/>
        </w:rPr>
        <w:t xml:space="preserve">to the Board level assurance arrangements, and to consider how we can reflect the assurance considered at Committee level. This will include mapping across the elements of the </w:t>
      </w:r>
      <w:r w:rsidRPr="00555B92">
        <w:rPr>
          <w:rFonts w:ascii="Verdana" w:eastAsia="Verdana" w:hAnsi="Verdana" w:cstheme="minorBidi"/>
          <w:lang w:val="en-GB"/>
        </w:rPr>
        <w:t>PAD</w:t>
      </w:r>
      <w:r w:rsidR="00364148" w:rsidRPr="00555B92">
        <w:rPr>
          <w:rFonts w:ascii="Verdana" w:eastAsia="Verdana" w:hAnsi="Verdana" w:cstheme="minorBidi"/>
          <w:lang w:val="en-GB"/>
        </w:rPr>
        <w:t xml:space="preserve"> to the Committee’s work plans to provide a full assurance picture to the Board for each area and will identify any gaps in assurance / reporting arrangements.</w:t>
      </w:r>
    </w:p>
    <w:p w14:paraId="0D7F0C91" w14:textId="77777777" w:rsidR="00360A68" w:rsidRPr="002D2B15" w:rsidRDefault="00364148" w:rsidP="002D2B15">
      <w:pPr>
        <w:pStyle w:val="TableParagraph"/>
        <w:spacing w:before="120" w:after="120" w:line="20" w:lineRule="atLeast"/>
        <w:ind w:left="567"/>
        <w:jc w:val="both"/>
        <w:rPr>
          <w:rFonts w:ascii="Verdana" w:eastAsia="Verdana" w:hAnsi="Verdana" w:cstheme="minorBidi"/>
          <w:lang w:val="en-GB"/>
        </w:rPr>
      </w:pPr>
      <w:r w:rsidRPr="00555B92">
        <w:rPr>
          <w:rFonts w:ascii="Verdana" w:eastAsia="Verdana" w:hAnsi="Verdana" w:cstheme="minorBidi"/>
          <w:lang w:val="en-GB"/>
        </w:rPr>
        <w:t xml:space="preserve">Whilst this work is ongoing, we have added reference to the remit area for each of the themes within the </w:t>
      </w:r>
      <w:r w:rsidR="00555B92">
        <w:rPr>
          <w:rFonts w:ascii="Verdana" w:eastAsia="Verdana" w:hAnsi="Verdana" w:cstheme="minorBidi"/>
          <w:lang w:val="en-GB"/>
        </w:rPr>
        <w:t>Performance and Insight</w:t>
      </w:r>
      <w:r w:rsidR="00555B92" w:rsidRPr="00555B92">
        <w:rPr>
          <w:rFonts w:ascii="Verdana" w:eastAsia="Verdana" w:hAnsi="Verdana" w:cstheme="minorBidi"/>
          <w:lang w:val="en-GB"/>
        </w:rPr>
        <w:t xml:space="preserve"> </w:t>
      </w:r>
      <w:r w:rsidR="00555B92">
        <w:rPr>
          <w:rFonts w:ascii="Verdana" w:eastAsia="Verdana" w:hAnsi="Verdana" w:cstheme="minorBidi"/>
          <w:lang w:val="en-GB"/>
        </w:rPr>
        <w:t>R</w:t>
      </w:r>
      <w:r w:rsidR="00555B92" w:rsidRPr="00555B92">
        <w:rPr>
          <w:rFonts w:ascii="Verdana" w:eastAsia="Verdana" w:hAnsi="Verdana" w:cstheme="minorBidi"/>
          <w:lang w:val="en-GB"/>
        </w:rPr>
        <w:t>eport</w:t>
      </w:r>
      <w:r w:rsidRPr="00555B92">
        <w:rPr>
          <w:rFonts w:ascii="Verdana" w:eastAsia="Verdana" w:hAnsi="Verdana" w:cstheme="minorBidi"/>
          <w:lang w:val="en-GB"/>
        </w:rPr>
        <w:t xml:space="preserve">, to signal where the Board/Committee level assurance sits in terms of the Committee remits, which we will then use as a basis for the </w:t>
      </w:r>
      <w:r w:rsidR="002D2B15">
        <w:rPr>
          <w:rFonts w:ascii="Verdana" w:eastAsia="Verdana" w:hAnsi="Verdana" w:cstheme="minorBidi"/>
          <w:lang w:val="en-GB"/>
        </w:rPr>
        <w:t>review of Board level assurance.</w:t>
      </w:r>
    </w:p>
    <w:p w14:paraId="5E11BE20" w14:textId="77777777" w:rsidR="00360A68" w:rsidRDefault="00360A68" w:rsidP="00C52823">
      <w:pPr>
        <w:spacing w:after="0" w:line="240" w:lineRule="auto"/>
        <w:jc w:val="both"/>
        <w:rPr>
          <w:rFonts w:ascii="Verdana" w:eastAsia="Verdana" w:hAnsi="Verdana"/>
          <w:sz w:val="24"/>
          <w:szCs w:val="24"/>
        </w:rPr>
      </w:pPr>
    </w:p>
    <w:p w14:paraId="69B7B098" w14:textId="77777777" w:rsidR="00360A68" w:rsidRDefault="00360A68" w:rsidP="00C52823">
      <w:pPr>
        <w:spacing w:after="0" w:line="240" w:lineRule="auto"/>
        <w:jc w:val="both"/>
        <w:rPr>
          <w:rFonts w:ascii="Verdana" w:eastAsia="Verdana" w:hAnsi="Verdana"/>
          <w:sz w:val="24"/>
          <w:szCs w:val="24"/>
        </w:rPr>
      </w:pPr>
    </w:p>
    <w:p w14:paraId="46FEAD02" w14:textId="77777777" w:rsidR="000F437D" w:rsidRPr="005C71DB" w:rsidRDefault="000A2ADC" w:rsidP="005C71DB">
      <w:pPr>
        <w:pStyle w:val="ListParagraph"/>
        <w:keepNext/>
        <w:keepLines/>
        <w:numPr>
          <w:ilvl w:val="0"/>
          <w:numId w:val="1"/>
        </w:numPr>
        <w:spacing w:after="0" w:line="240" w:lineRule="auto"/>
        <w:ind w:right="731"/>
        <w:outlineLvl w:val="1"/>
        <w:rPr>
          <w:rFonts w:ascii="Verdana" w:eastAsiaTheme="majorEastAsia" w:hAnsi="Verdana" w:cstheme="majorBidi"/>
          <w:b/>
          <w:bCs/>
          <w:sz w:val="24"/>
          <w:szCs w:val="24"/>
        </w:rPr>
      </w:pPr>
      <w:r w:rsidRPr="005C71DB">
        <w:rPr>
          <w:rFonts w:ascii="Verdana" w:eastAsiaTheme="majorEastAsia" w:hAnsi="Verdana" w:cstheme="majorBidi"/>
          <w:b/>
          <w:bCs/>
          <w:sz w:val="24"/>
          <w:szCs w:val="24"/>
        </w:rPr>
        <w:t>Well-being of Future Generations (Wales) Act 2015</w:t>
      </w:r>
    </w:p>
    <w:p w14:paraId="333FEDE2" w14:textId="77777777" w:rsidR="000A2ADC" w:rsidRPr="00AC7380" w:rsidRDefault="000A2ADC" w:rsidP="000A2ADC">
      <w:pPr>
        <w:spacing w:after="0" w:line="240" w:lineRule="auto"/>
        <w:ind w:left="1276" w:right="731" w:hanging="567"/>
        <w:rPr>
          <w:rFonts w:ascii="Verdana" w:eastAsia="Verdana" w:hAnsi="Verdana"/>
          <w:sz w:val="24"/>
          <w:szCs w:val="24"/>
        </w:rPr>
      </w:pPr>
    </w:p>
    <w:tbl>
      <w:tblPr>
        <w:tblStyle w:val="TableGrid4"/>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6554"/>
      </w:tblGrid>
      <w:tr w:rsidR="000A2ADC" w:rsidRPr="00AC7380" w14:paraId="6DC0BFFE" w14:textId="77777777" w:rsidTr="003B1702">
        <w:tc>
          <w:tcPr>
            <w:tcW w:w="3369" w:type="dxa"/>
          </w:tcPr>
          <w:p w14:paraId="3695CDDF" w14:textId="77777777"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59264" behindDoc="0" locked="0" layoutInCell="1" allowOverlap="1" wp14:anchorId="69FEEF05" wp14:editId="74248B39">
                  <wp:simplePos x="0" y="0"/>
                  <wp:positionH relativeFrom="column">
                    <wp:posOffset>147320</wp:posOffset>
                  </wp:positionH>
                  <wp:positionV relativeFrom="paragraph">
                    <wp:posOffset>-16510</wp:posOffset>
                  </wp:positionV>
                  <wp:extent cx="1829383" cy="861060"/>
                  <wp:effectExtent l="0" t="0" r="0" b="0"/>
                  <wp:wrapNone/>
                  <wp:docPr id="169"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9" cstate="print">
                            <a:extLst>
                              <a:ext uri="{28A0092B-C50C-407E-A947-70E740481C1C}">
                                <a14:useLocalDpi xmlns:a14="http://schemas.microsoft.com/office/drawing/2010/main" val="0"/>
                              </a:ext>
                            </a:extLst>
                          </a:blip>
                          <a:srcRect l="20309" t="9271" r="17880" b="10596"/>
                          <a:stretch>
                            <a:fillRect/>
                          </a:stretch>
                        </pic:blipFill>
                        <pic:spPr bwMode="auto">
                          <a:xfrm>
                            <a:off x="0" y="0"/>
                            <a:ext cx="1829383" cy="8610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14:paraId="2C07A487" w14:textId="77777777" w:rsidR="000A2ADC" w:rsidRPr="00AC7380" w:rsidRDefault="000A2ADC" w:rsidP="005C71DB">
            <w:pPr>
              <w:ind w:right="177"/>
              <w:rPr>
                <w:rFonts w:ascii="Verdana" w:hAnsi="Verdana" w:cs="Arial"/>
                <w:szCs w:val="24"/>
              </w:rPr>
            </w:pPr>
            <w:r w:rsidRPr="00AC7380">
              <w:rPr>
                <w:rFonts w:ascii="Verdana" w:hAnsi="Verdana" w:cs="Arial"/>
                <w:szCs w:val="24"/>
              </w:rPr>
              <w:t xml:space="preserve">Ensures Public Health Wales is able to successfully monitor the delivery of its </w:t>
            </w:r>
            <w:r w:rsidR="003B1702">
              <w:rPr>
                <w:rFonts w:ascii="Verdana" w:hAnsi="Verdana" w:cs="Arial"/>
                <w:szCs w:val="24"/>
              </w:rPr>
              <w:t xml:space="preserve">functions; assess areas of  </w:t>
            </w:r>
            <w:r w:rsidRPr="00AC7380">
              <w:rPr>
                <w:rFonts w:ascii="Verdana" w:hAnsi="Verdana" w:cs="Arial"/>
                <w:szCs w:val="24"/>
              </w:rPr>
              <w:t xml:space="preserve"> underperformance</w:t>
            </w:r>
            <w:r w:rsidR="003B1702">
              <w:rPr>
                <w:rFonts w:ascii="Verdana" w:hAnsi="Verdana" w:cs="Arial"/>
                <w:szCs w:val="24"/>
              </w:rPr>
              <w:t xml:space="preserve">; and can use this </w:t>
            </w:r>
            <w:r w:rsidRPr="00AC7380">
              <w:rPr>
                <w:rFonts w:ascii="Verdana" w:hAnsi="Verdana" w:cs="Arial"/>
                <w:szCs w:val="24"/>
              </w:rPr>
              <w:t xml:space="preserve">intelligence </w:t>
            </w:r>
            <w:r w:rsidR="003B1702">
              <w:rPr>
                <w:rFonts w:ascii="Verdana" w:hAnsi="Verdana" w:cs="Arial"/>
                <w:szCs w:val="24"/>
              </w:rPr>
              <w:t xml:space="preserve">and knowledge </w:t>
            </w:r>
            <w:r w:rsidRPr="00AC7380">
              <w:rPr>
                <w:rFonts w:ascii="Verdana" w:hAnsi="Verdana" w:cs="Arial"/>
                <w:szCs w:val="24"/>
              </w:rPr>
              <w:t>to aid decision making.</w:t>
            </w:r>
          </w:p>
          <w:p w14:paraId="3C3F9194" w14:textId="77777777" w:rsidR="000A2ADC" w:rsidRPr="00AC7380" w:rsidRDefault="000A2ADC" w:rsidP="005C71DB">
            <w:pPr>
              <w:ind w:right="731" w:hanging="567"/>
              <w:rPr>
                <w:rFonts w:ascii="Verdana" w:hAnsi="Verdana" w:cs="Arial"/>
                <w:szCs w:val="24"/>
              </w:rPr>
            </w:pPr>
          </w:p>
        </w:tc>
      </w:tr>
      <w:tr w:rsidR="000A2ADC" w:rsidRPr="00AC7380" w14:paraId="783ED21B" w14:textId="77777777" w:rsidTr="003B1702">
        <w:tc>
          <w:tcPr>
            <w:tcW w:w="3369" w:type="dxa"/>
          </w:tcPr>
          <w:p w14:paraId="16925C53" w14:textId="77777777"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0288" behindDoc="0" locked="0" layoutInCell="1" allowOverlap="1" wp14:anchorId="38FE05F0" wp14:editId="0436A853">
                  <wp:simplePos x="0" y="0"/>
                  <wp:positionH relativeFrom="column">
                    <wp:posOffset>198120</wp:posOffset>
                  </wp:positionH>
                  <wp:positionV relativeFrom="paragraph">
                    <wp:posOffset>73448</wp:posOffset>
                  </wp:positionV>
                  <wp:extent cx="1828800" cy="857250"/>
                  <wp:effectExtent l="0" t="0" r="0" b="0"/>
                  <wp:wrapNone/>
                  <wp:docPr id="170"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20" cstate="print">
                            <a:extLst>
                              <a:ext uri="{28A0092B-C50C-407E-A947-70E740481C1C}">
                                <a14:useLocalDpi xmlns:a14="http://schemas.microsoft.com/office/drawing/2010/main" val="0"/>
                              </a:ext>
                            </a:extLst>
                          </a:blip>
                          <a:srcRect l="22958" t="11920" r="18542" b="12582"/>
                          <a:stretch>
                            <a:fillRect/>
                          </a:stretch>
                        </pic:blipFill>
                        <pic:spPr bwMode="auto">
                          <a:xfrm>
                            <a:off x="0" y="0"/>
                            <a:ext cx="1828800" cy="8572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14:paraId="07ECA91C" w14:textId="77777777" w:rsidR="000A2ADC" w:rsidRPr="00AC7380" w:rsidRDefault="000A2ADC" w:rsidP="005C71DB">
            <w:pPr>
              <w:ind w:right="-106"/>
              <w:rPr>
                <w:rFonts w:ascii="Verdana" w:hAnsi="Verdana" w:cs="Arial"/>
                <w:szCs w:val="24"/>
              </w:rPr>
            </w:pPr>
            <w:r w:rsidRPr="00AC7380">
              <w:rPr>
                <w:rFonts w:ascii="Verdana" w:hAnsi="Verdana" w:cs="Arial"/>
                <w:szCs w:val="24"/>
              </w:rPr>
              <w:t xml:space="preserve">Effective and efficient decision making by </w:t>
            </w:r>
            <w:r w:rsidR="005C71DB">
              <w:rPr>
                <w:rFonts w:ascii="Verdana" w:hAnsi="Verdana" w:cs="Arial"/>
                <w:szCs w:val="24"/>
              </w:rPr>
              <w:t>s</w:t>
            </w:r>
            <w:r w:rsidRPr="00AC7380">
              <w:rPr>
                <w:rFonts w:ascii="Verdana" w:hAnsi="Verdana" w:cs="Arial"/>
                <w:szCs w:val="24"/>
              </w:rPr>
              <w:t xml:space="preserve">enior </w:t>
            </w:r>
            <w:r w:rsidR="005C71DB">
              <w:rPr>
                <w:rFonts w:ascii="Verdana" w:hAnsi="Verdana" w:cs="Arial"/>
                <w:szCs w:val="24"/>
              </w:rPr>
              <w:t>m</w:t>
            </w:r>
            <w:r w:rsidRPr="00AC7380">
              <w:rPr>
                <w:rFonts w:ascii="Verdana" w:hAnsi="Verdana" w:cs="Arial"/>
                <w:szCs w:val="24"/>
              </w:rPr>
              <w:t>anagers, Executive Team and the Board is paramount to successful performance of the organisation in order for it to achieve its purpose, whilst preventing the potential to cause harm through underperformance.</w:t>
            </w:r>
          </w:p>
          <w:p w14:paraId="1D203931" w14:textId="77777777" w:rsidR="00883874" w:rsidRPr="00AC7380" w:rsidRDefault="00883874" w:rsidP="005C71DB">
            <w:pPr>
              <w:ind w:right="731" w:hanging="567"/>
              <w:rPr>
                <w:rFonts w:ascii="Verdana" w:hAnsi="Verdana" w:cs="Arial"/>
                <w:szCs w:val="24"/>
              </w:rPr>
            </w:pPr>
          </w:p>
        </w:tc>
      </w:tr>
      <w:tr w:rsidR="000A2ADC" w:rsidRPr="00AC7380" w14:paraId="250BEBB3" w14:textId="77777777" w:rsidTr="003B1702">
        <w:tc>
          <w:tcPr>
            <w:tcW w:w="3369" w:type="dxa"/>
          </w:tcPr>
          <w:p w14:paraId="1D0F56B0" w14:textId="77777777" w:rsidR="00DA575D"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1312" behindDoc="0" locked="0" layoutInCell="1" allowOverlap="1" wp14:anchorId="3FE42D5A" wp14:editId="2FACAE30">
                  <wp:simplePos x="0" y="0"/>
                  <wp:positionH relativeFrom="column">
                    <wp:posOffset>145415</wp:posOffset>
                  </wp:positionH>
                  <wp:positionV relativeFrom="paragraph">
                    <wp:posOffset>115781</wp:posOffset>
                  </wp:positionV>
                  <wp:extent cx="1881834" cy="800100"/>
                  <wp:effectExtent l="0" t="0" r="0" b="0"/>
                  <wp:wrapNone/>
                  <wp:docPr id="171"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1" cstate="print">
                            <a:extLst>
                              <a:ext uri="{28A0092B-C50C-407E-A947-70E740481C1C}">
                                <a14:useLocalDpi xmlns:a14="http://schemas.microsoft.com/office/drawing/2010/main" val="0"/>
                              </a:ext>
                            </a:extLst>
                          </a:blip>
                          <a:srcRect l="16556" t="11258" r="16115" b="9933"/>
                          <a:stretch>
                            <a:fillRect/>
                          </a:stretch>
                        </pic:blipFill>
                        <pic:spPr bwMode="auto">
                          <a:xfrm>
                            <a:off x="0" y="0"/>
                            <a:ext cx="1881834" cy="8001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14:paraId="707D6198" w14:textId="77777777" w:rsidR="00DA575D" w:rsidRPr="00DA575D" w:rsidRDefault="00DA575D" w:rsidP="00DA575D">
            <w:pPr>
              <w:rPr>
                <w:rFonts w:ascii="Verdana" w:hAnsi="Verdana" w:cs="Arial"/>
                <w:sz w:val="24"/>
                <w:szCs w:val="24"/>
              </w:rPr>
            </w:pPr>
          </w:p>
          <w:p w14:paraId="15160540" w14:textId="77777777" w:rsidR="00DA575D" w:rsidRPr="00DA575D" w:rsidRDefault="00DA575D" w:rsidP="00DA575D">
            <w:pPr>
              <w:rPr>
                <w:rFonts w:ascii="Verdana" w:hAnsi="Verdana" w:cs="Arial"/>
                <w:sz w:val="24"/>
                <w:szCs w:val="24"/>
              </w:rPr>
            </w:pPr>
          </w:p>
          <w:p w14:paraId="08D413A3" w14:textId="77777777" w:rsidR="00DA575D" w:rsidRDefault="00DA575D" w:rsidP="00DA575D">
            <w:pPr>
              <w:rPr>
                <w:rFonts w:ascii="Verdana" w:hAnsi="Verdana" w:cs="Arial"/>
                <w:sz w:val="24"/>
                <w:szCs w:val="24"/>
              </w:rPr>
            </w:pPr>
          </w:p>
          <w:p w14:paraId="4B020E36" w14:textId="77777777" w:rsidR="000A2ADC" w:rsidRPr="00DA575D" w:rsidRDefault="000A2ADC" w:rsidP="00DA575D">
            <w:pPr>
              <w:jc w:val="center"/>
              <w:rPr>
                <w:rFonts w:ascii="Verdana" w:hAnsi="Verdana" w:cs="Arial"/>
                <w:sz w:val="24"/>
                <w:szCs w:val="24"/>
              </w:rPr>
            </w:pPr>
          </w:p>
        </w:tc>
        <w:tc>
          <w:tcPr>
            <w:tcW w:w="6554" w:type="dxa"/>
          </w:tcPr>
          <w:p w14:paraId="28E7F7B9" w14:textId="77777777" w:rsidR="00AC3B62" w:rsidRPr="00AC7380" w:rsidRDefault="000A2ADC" w:rsidP="005C71DB">
            <w:pPr>
              <w:ind w:right="-106"/>
              <w:rPr>
                <w:rFonts w:ascii="Verdana" w:hAnsi="Verdana" w:cs="Arial"/>
                <w:szCs w:val="24"/>
              </w:rPr>
            </w:pPr>
            <w:r w:rsidRPr="00AC7380">
              <w:rPr>
                <w:rFonts w:ascii="Verdana" w:hAnsi="Verdana" w:cs="Arial"/>
                <w:szCs w:val="24"/>
              </w:rPr>
              <w:t xml:space="preserve">The development of Public Health Wales’ Long Term Strategy and </w:t>
            </w:r>
            <w:r w:rsidR="005C71DB">
              <w:rPr>
                <w:rFonts w:ascii="Verdana" w:hAnsi="Verdana" w:cs="Arial"/>
                <w:szCs w:val="24"/>
              </w:rPr>
              <w:t xml:space="preserve">Integrated Medium Term Plan has been </w:t>
            </w:r>
            <w:r w:rsidRPr="00AC7380">
              <w:rPr>
                <w:rFonts w:ascii="Verdana" w:hAnsi="Verdana" w:cs="Arial"/>
                <w:szCs w:val="24"/>
              </w:rPr>
              <w:t>grounded in collaboration and integration across our workforce. To demonstrate that the organisation is achieving what it set out to achieve over the short, medium and long term, high quality monitoring and reporting of information is essential through the integrated performance report.</w:t>
            </w:r>
            <w:r w:rsidR="005C71DB">
              <w:rPr>
                <w:rFonts w:ascii="Verdana" w:hAnsi="Verdana" w:cs="Arial"/>
                <w:szCs w:val="24"/>
              </w:rPr>
              <w:t xml:space="preserve"> This approach has been reflected in the approach to the pandemic response.</w:t>
            </w:r>
          </w:p>
          <w:p w14:paraId="66174055" w14:textId="77777777"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14:paraId="554E323C" w14:textId="77777777" w:rsidTr="003B1702">
        <w:tc>
          <w:tcPr>
            <w:tcW w:w="3369" w:type="dxa"/>
          </w:tcPr>
          <w:p w14:paraId="555DFE4E" w14:textId="77777777"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2336" behindDoc="0" locked="0" layoutInCell="1" allowOverlap="1" wp14:anchorId="0EA32EC6" wp14:editId="25461269">
                  <wp:simplePos x="0" y="0"/>
                  <wp:positionH relativeFrom="column">
                    <wp:posOffset>277706</wp:posOffset>
                  </wp:positionH>
                  <wp:positionV relativeFrom="paragraph">
                    <wp:posOffset>85725</wp:posOffset>
                  </wp:positionV>
                  <wp:extent cx="1704665" cy="704850"/>
                  <wp:effectExtent l="0" t="0" r="0" b="0"/>
                  <wp:wrapNone/>
                  <wp:docPr id="172"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2" cstate="print">
                            <a:extLst>
                              <a:ext uri="{28A0092B-C50C-407E-A947-70E740481C1C}">
                                <a14:useLocalDpi xmlns:a14="http://schemas.microsoft.com/office/drawing/2010/main" val="0"/>
                              </a:ext>
                            </a:extLst>
                          </a:blip>
                          <a:srcRect l="17661" t="10596" r="13687" b="11258"/>
                          <a:stretch>
                            <a:fillRect/>
                          </a:stretch>
                        </pic:blipFill>
                        <pic:spPr bwMode="auto">
                          <a:xfrm>
                            <a:off x="0" y="0"/>
                            <a:ext cx="1704665" cy="704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shd w:val="clear" w:color="auto" w:fill="auto"/>
          </w:tcPr>
          <w:p w14:paraId="11F1CCBB" w14:textId="77777777" w:rsidR="000A2ADC" w:rsidRPr="00AC7380" w:rsidRDefault="000A2ADC" w:rsidP="005C71DB">
            <w:pPr>
              <w:ind w:right="-106"/>
              <w:rPr>
                <w:rFonts w:ascii="Verdana" w:hAnsi="Verdana" w:cs="Arial"/>
                <w:szCs w:val="24"/>
              </w:rPr>
            </w:pPr>
            <w:r w:rsidRPr="00AC7380">
              <w:rPr>
                <w:rFonts w:ascii="Verdana" w:hAnsi="Verdana" w:cs="Arial"/>
                <w:szCs w:val="24"/>
              </w:rPr>
              <w:t xml:space="preserve">Reporting of data and information through the integrated performance report requires collaboration across the organisation to ensure timely delivery of key service, quality, workforce and financial data. The potential for the development of business intelligence tools will require close working relationships with Directorates and especially Informatics to maximise potential. </w:t>
            </w:r>
          </w:p>
          <w:p w14:paraId="0447E5F9" w14:textId="77777777"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14:paraId="40B311B6" w14:textId="77777777" w:rsidTr="003B1702">
        <w:tc>
          <w:tcPr>
            <w:tcW w:w="3369" w:type="dxa"/>
          </w:tcPr>
          <w:p w14:paraId="33EA0B27" w14:textId="77777777" w:rsidR="000A2ADC" w:rsidRPr="00AC7380" w:rsidRDefault="000A2ADC"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3360" behindDoc="0" locked="0" layoutInCell="1" allowOverlap="1" wp14:anchorId="0C3D0DA1" wp14:editId="1D4097E8">
                  <wp:simplePos x="0" y="0"/>
                  <wp:positionH relativeFrom="column">
                    <wp:posOffset>325120</wp:posOffset>
                  </wp:positionH>
                  <wp:positionV relativeFrom="paragraph">
                    <wp:posOffset>78740</wp:posOffset>
                  </wp:positionV>
                  <wp:extent cx="1747209" cy="733193"/>
                  <wp:effectExtent l="0" t="0" r="5715" b="0"/>
                  <wp:wrapNone/>
                  <wp:docPr id="173"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3" cstate="print">
                            <a:extLst>
                              <a:ext uri="{28A0092B-C50C-407E-A947-70E740481C1C}">
                                <a14:useLocalDpi xmlns:a14="http://schemas.microsoft.com/office/drawing/2010/main" val="0"/>
                              </a:ext>
                            </a:extLst>
                          </a:blip>
                          <a:srcRect l="19205" t="11920" r="15453" b="12582"/>
                          <a:stretch>
                            <a:fillRect/>
                          </a:stretch>
                        </pic:blipFill>
                        <pic:spPr bwMode="auto">
                          <a:xfrm>
                            <a:off x="0" y="0"/>
                            <a:ext cx="1747209" cy="73319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14:paraId="34BAAB77" w14:textId="77777777" w:rsidR="000A2ADC" w:rsidRDefault="000A2ADC" w:rsidP="005C71DB">
            <w:pPr>
              <w:rPr>
                <w:rFonts w:ascii="Verdana" w:hAnsi="Verdana" w:cs="Arial"/>
                <w:szCs w:val="24"/>
              </w:rPr>
            </w:pPr>
            <w:r w:rsidRPr="00AC7380">
              <w:rPr>
                <w:rFonts w:ascii="Verdana" w:hAnsi="Verdana" w:cs="Arial"/>
                <w:szCs w:val="24"/>
              </w:rPr>
              <w:t xml:space="preserve">To ensure compliance with the Welsh Audit Office Structured Assessment, agreeing and reporting Division / Directorate level performance measures will require involvement across the full breadth of the organisation. Monitoring and reporting against the strategic plan will involve working closely with staff to ensure accurate and timely intelligence for the Executive Team and Board. </w:t>
            </w:r>
          </w:p>
          <w:p w14:paraId="7850B4F7" w14:textId="77777777" w:rsidR="00DC72A8" w:rsidRDefault="00DC72A8" w:rsidP="005C71DB">
            <w:pPr>
              <w:rPr>
                <w:rFonts w:ascii="Verdana" w:hAnsi="Verdana" w:cs="Arial"/>
                <w:szCs w:val="24"/>
              </w:rPr>
            </w:pPr>
          </w:p>
          <w:p w14:paraId="4B3B6589" w14:textId="77777777" w:rsidR="00A6361F" w:rsidRPr="00AC7380" w:rsidRDefault="00A6361F" w:rsidP="005C71DB">
            <w:pPr>
              <w:rPr>
                <w:rFonts w:ascii="Verdana" w:hAnsi="Verdana" w:cs="Arial"/>
                <w:szCs w:val="24"/>
              </w:rPr>
            </w:pPr>
          </w:p>
        </w:tc>
      </w:tr>
    </w:tbl>
    <w:p w14:paraId="30BB3DE6" w14:textId="77777777" w:rsidR="000A2ADC" w:rsidRPr="00AC7380" w:rsidRDefault="000A2ADC" w:rsidP="000A2ADC">
      <w:pPr>
        <w:keepNext/>
        <w:keepLines/>
        <w:numPr>
          <w:ilvl w:val="0"/>
          <w:numId w:val="1"/>
        </w:numPr>
        <w:spacing w:before="480" w:after="0" w:line="240" w:lineRule="auto"/>
        <w:ind w:left="1276"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Recommendation</w:t>
      </w:r>
    </w:p>
    <w:p w14:paraId="1A425EAC" w14:textId="77777777" w:rsidR="000A2ADC" w:rsidRPr="00AC7380" w:rsidRDefault="000A2ADC" w:rsidP="000A2ADC">
      <w:pPr>
        <w:spacing w:after="0" w:line="240" w:lineRule="auto"/>
        <w:ind w:left="1276" w:right="731" w:hanging="567"/>
        <w:rPr>
          <w:rFonts w:ascii="Verdana" w:hAnsi="Verdana"/>
          <w:sz w:val="24"/>
          <w:szCs w:val="24"/>
        </w:rPr>
      </w:pPr>
    </w:p>
    <w:p w14:paraId="7F36B636" w14:textId="77777777" w:rsidR="000A2ADC" w:rsidRPr="00A6361F" w:rsidRDefault="000A2ADC" w:rsidP="000A2ADC">
      <w:pPr>
        <w:spacing w:after="0" w:line="240" w:lineRule="auto"/>
        <w:ind w:left="1276" w:right="731" w:hanging="567"/>
        <w:rPr>
          <w:rFonts w:ascii="Verdana" w:hAnsi="Verdana"/>
          <w:szCs w:val="23"/>
        </w:rPr>
      </w:pPr>
      <w:r w:rsidRPr="00A6361F">
        <w:rPr>
          <w:rFonts w:ascii="Verdana" w:hAnsi="Verdana"/>
          <w:szCs w:val="23"/>
        </w:rPr>
        <w:t xml:space="preserve">The Public Health Wales Board is asked to: </w:t>
      </w:r>
    </w:p>
    <w:p w14:paraId="70F92BA0" w14:textId="77777777" w:rsidR="000A2ADC" w:rsidRPr="00A6361F" w:rsidRDefault="000A2ADC" w:rsidP="000A2ADC">
      <w:pPr>
        <w:spacing w:after="0" w:line="240" w:lineRule="auto"/>
        <w:ind w:left="1276" w:right="731" w:hanging="567"/>
        <w:rPr>
          <w:rFonts w:ascii="Verdana" w:hAnsi="Verdana"/>
          <w:szCs w:val="23"/>
        </w:rPr>
      </w:pPr>
    </w:p>
    <w:p w14:paraId="220B9CA0" w14:textId="77777777" w:rsidR="00D835C7" w:rsidRPr="00A6361F" w:rsidRDefault="000A2ADC" w:rsidP="00E25CF9">
      <w:pPr>
        <w:numPr>
          <w:ilvl w:val="0"/>
          <w:numId w:val="2"/>
        </w:numPr>
        <w:spacing w:after="0" w:line="240" w:lineRule="auto"/>
        <w:ind w:left="1276" w:right="731" w:hanging="567"/>
        <w:rPr>
          <w:rFonts w:ascii="Verdana" w:hAnsi="Verdana"/>
          <w:szCs w:val="23"/>
        </w:rPr>
      </w:pPr>
      <w:r w:rsidRPr="00A6361F">
        <w:rPr>
          <w:rFonts w:ascii="Verdana" w:hAnsi="Verdana"/>
          <w:b/>
          <w:szCs w:val="23"/>
        </w:rPr>
        <w:t xml:space="preserve">Discuss </w:t>
      </w:r>
      <w:r w:rsidRPr="00A6361F">
        <w:rPr>
          <w:rFonts w:ascii="Verdana" w:hAnsi="Verdana"/>
          <w:szCs w:val="23"/>
        </w:rPr>
        <w:t>and scrutinise the paper and provide feedback and comments</w:t>
      </w:r>
      <w:r w:rsidR="00E25CF9" w:rsidRPr="00A6361F">
        <w:rPr>
          <w:rFonts w:ascii="Verdana" w:hAnsi="Verdana"/>
          <w:szCs w:val="23"/>
        </w:rPr>
        <w:t>.</w:t>
      </w:r>
    </w:p>
    <w:sectPr w:rsidR="00D835C7" w:rsidRPr="00A6361F" w:rsidSect="00402F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D80217" w14:textId="77777777" w:rsidR="002E753D" w:rsidRDefault="002E753D" w:rsidP="00883874">
      <w:pPr>
        <w:spacing w:after="0" w:line="240" w:lineRule="auto"/>
      </w:pPr>
      <w:r>
        <w:separator/>
      </w:r>
    </w:p>
  </w:endnote>
  <w:endnote w:type="continuationSeparator" w:id="0">
    <w:p w14:paraId="7372FF54" w14:textId="77777777" w:rsidR="002E753D" w:rsidRDefault="002E753D" w:rsidP="00883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2"/>
      <w:gridCol w:w="3011"/>
      <w:gridCol w:w="3003"/>
    </w:tblGrid>
    <w:tr w:rsidR="008E6BAB" w:rsidRPr="00511AFF" w14:paraId="293D7B88" w14:textId="77777777" w:rsidTr="008F2049">
      <w:tc>
        <w:tcPr>
          <w:tcW w:w="3100" w:type="dxa"/>
        </w:tcPr>
        <w:p w14:paraId="0B2E4637" w14:textId="77777777" w:rsidR="008E6BAB" w:rsidRPr="00511AFF" w:rsidRDefault="000F437D" w:rsidP="002D2B15">
          <w:pPr>
            <w:pStyle w:val="Footer"/>
            <w:tabs>
              <w:tab w:val="right" w:pos="9090"/>
            </w:tabs>
            <w:jc w:val="center"/>
            <w:rPr>
              <w:b/>
              <w:sz w:val="20"/>
            </w:rPr>
          </w:pPr>
          <w:r w:rsidRPr="00511AFF">
            <w:rPr>
              <w:b/>
              <w:sz w:val="20"/>
            </w:rPr>
            <w:t xml:space="preserve">Date: </w:t>
          </w:r>
          <w:r w:rsidR="002D2B15">
            <w:rPr>
              <w:sz w:val="20"/>
            </w:rPr>
            <w:t xml:space="preserve"> 20</w:t>
          </w:r>
          <w:r w:rsidR="0021461F">
            <w:rPr>
              <w:sz w:val="20"/>
            </w:rPr>
            <w:t xml:space="preserve"> </w:t>
          </w:r>
          <w:r w:rsidR="002D2B15">
            <w:rPr>
              <w:sz w:val="20"/>
            </w:rPr>
            <w:t>July</w:t>
          </w:r>
          <w:r w:rsidR="00DA575D">
            <w:rPr>
              <w:sz w:val="20"/>
            </w:rPr>
            <w:t xml:space="preserve"> </w:t>
          </w:r>
          <w:r w:rsidR="00F9166C">
            <w:rPr>
              <w:sz w:val="20"/>
            </w:rPr>
            <w:t>20</w:t>
          </w:r>
          <w:r w:rsidR="00DC01C5">
            <w:rPr>
              <w:sz w:val="20"/>
            </w:rPr>
            <w:t>23</w:t>
          </w:r>
        </w:p>
      </w:tc>
      <w:tc>
        <w:tcPr>
          <w:tcW w:w="3100" w:type="dxa"/>
        </w:tcPr>
        <w:p w14:paraId="094856B1" w14:textId="77777777" w:rsidR="008E6BAB" w:rsidRPr="00511AFF" w:rsidRDefault="000F437D" w:rsidP="008F2049">
          <w:pPr>
            <w:pStyle w:val="Footer"/>
            <w:tabs>
              <w:tab w:val="center" w:pos="1433"/>
              <w:tab w:val="right" w:pos="2866"/>
              <w:tab w:val="right" w:pos="9090"/>
            </w:tabs>
            <w:jc w:val="center"/>
            <w:rPr>
              <w:b/>
              <w:sz w:val="20"/>
            </w:rPr>
          </w:pPr>
          <w:r w:rsidRPr="00511AFF">
            <w:rPr>
              <w:b/>
              <w:sz w:val="20"/>
            </w:rPr>
            <w:t>Version:</w:t>
          </w:r>
          <w:r w:rsidR="00DA575D">
            <w:rPr>
              <w:sz w:val="20"/>
            </w:rPr>
            <w:t xml:space="preserve"> 1a</w:t>
          </w:r>
        </w:p>
      </w:tc>
      <w:tc>
        <w:tcPr>
          <w:tcW w:w="3101" w:type="dxa"/>
        </w:tcPr>
        <w:p w14:paraId="37328C4F" w14:textId="77777777" w:rsidR="008E6BAB" w:rsidRPr="00511AFF" w:rsidRDefault="000F437D" w:rsidP="008F2049">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611EAB">
            <w:rPr>
              <w:rStyle w:val="PageNumber"/>
              <w:noProof/>
              <w:sz w:val="20"/>
            </w:rPr>
            <w:t>7</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611EAB">
            <w:rPr>
              <w:rStyle w:val="PageNumber"/>
              <w:noProof/>
              <w:sz w:val="20"/>
            </w:rPr>
            <w:t>7</w:t>
          </w:r>
          <w:r w:rsidRPr="00511AFF">
            <w:rPr>
              <w:rStyle w:val="PageNumber"/>
              <w:sz w:val="20"/>
            </w:rPr>
            <w:fldChar w:fldCharType="end"/>
          </w:r>
        </w:p>
      </w:tc>
    </w:tr>
  </w:tbl>
  <w:p w14:paraId="36B8D92A" w14:textId="77777777" w:rsidR="008E6BAB" w:rsidRPr="00FA7943" w:rsidRDefault="00D3332F">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105E85" w14:textId="77777777" w:rsidR="002E753D" w:rsidRDefault="002E753D" w:rsidP="00883874">
      <w:pPr>
        <w:spacing w:after="0" w:line="240" w:lineRule="auto"/>
      </w:pPr>
      <w:r>
        <w:separator/>
      </w:r>
    </w:p>
  </w:footnote>
  <w:footnote w:type="continuationSeparator" w:id="0">
    <w:p w14:paraId="7BABB206" w14:textId="77777777" w:rsidR="002E753D" w:rsidRDefault="002E753D" w:rsidP="00883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A111C5"/>
    <w:multiLevelType w:val="hybridMultilevel"/>
    <w:tmpl w:val="B51C9322"/>
    <w:lvl w:ilvl="0" w:tplc="143214A6">
      <w:numFmt w:val="bullet"/>
      <w:lvlText w:val=""/>
      <w:lvlJc w:val="left"/>
      <w:pPr>
        <w:ind w:left="928" w:hanging="361"/>
      </w:pPr>
      <w:rPr>
        <w:rFonts w:ascii="Symbol" w:eastAsia="Symbol" w:hAnsi="Symbol" w:cs="Symbol" w:hint="default"/>
        <w:w w:val="100"/>
        <w:sz w:val="22"/>
        <w:szCs w:val="22"/>
        <w:lang w:val="en-US" w:eastAsia="en-US" w:bidi="ar-SA"/>
      </w:rPr>
    </w:lvl>
    <w:lvl w:ilvl="1" w:tplc="AD3093BE">
      <w:numFmt w:val="bullet"/>
      <w:lvlText w:val="•"/>
      <w:lvlJc w:val="left"/>
      <w:pPr>
        <w:ind w:left="2220" w:hanging="361"/>
      </w:pPr>
      <w:rPr>
        <w:rFonts w:hint="default"/>
        <w:lang w:val="en-US" w:eastAsia="en-US" w:bidi="ar-SA"/>
      </w:rPr>
    </w:lvl>
    <w:lvl w:ilvl="2" w:tplc="6A1C1082">
      <w:numFmt w:val="bullet"/>
      <w:lvlText w:val="•"/>
      <w:lvlJc w:val="left"/>
      <w:pPr>
        <w:ind w:left="3514" w:hanging="361"/>
      </w:pPr>
      <w:rPr>
        <w:rFonts w:hint="default"/>
        <w:lang w:val="en-US" w:eastAsia="en-US" w:bidi="ar-SA"/>
      </w:rPr>
    </w:lvl>
    <w:lvl w:ilvl="3" w:tplc="D21C0A76">
      <w:numFmt w:val="bullet"/>
      <w:lvlText w:val="•"/>
      <w:lvlJc w:val="left"/>
      <w:pPr>
        <w:ind w:left="4807" w:hanging="361"/>
      </w:pPr>
      <w:rPr>
        <w:rFonts w:hint="default"/>
        <w:lang w:val="en-US" w:eastAsia="en-US" w:bidi="ar-SA"/>
      </w:rPr>
    </w:lvl>
    <w:lvl w:ilvl="4" w:tplc="A0DA5740">
      <w:numFmt w:val="bullet"/>
      <w:lvlText w:val="•"/>
      <w:lvlJc w:val="left"/>
      <w:pPr>
        <w:ind w:left="6101" w:hanging="361"/>
      </w:pPr>
      <w:rPr>
        <w:rFonts w:hint="default"/>
        <w:lang w:val="en-US" w:eastAsia="en-US" w:bidi="ar-SA"/>
      </w:rPr>
    </w:lvl>
    <w:lvl w:ilvl="5" w:tplc="9E92BFB2">
      <w:numFmt w:val="bullet"/>
      <w:lvlText w:val="•"/>
      <w:lvlJc w:val="left"/>
      <w:pPr>
        <w:ind w:left="7395" w:hanging="361"/>
      </w:pPr>
      <w:rPr>
        <w:rFonts w:hint="default"/>
        <w:lang w:val="en-US" w:eastAsia="en-US" w:bidi="ar-SA"/>
      </w:rPr>
    </w:lvl>
    <w:lvl w:ilvl="6" w:tplc="C8CCE60C">
      <w:numFmt w:val="bullet"/>
      <w:lvlText w:val="•"/>
      <w:lvlJc w:val="left"/>
      <w:pPr>
        <w:ind w:left="8688" w:hanging="361"/>
      </w:pPr>
      <w:rPr>
        <w:rFonts w:hint="default"/>
        <w:lang w:val="en-US" w:eastAsia="en-US" w:bidi="ar-SA"/>
      </w:rPr>
    </w:lvl>
    <w:lvl w:ilvl="7" w:tplc="F59C0CC4">
      <w:numFmt w:val="bullet"/>
      <w:lvlText w:val="•"/>
      <w:lvlJc w:val="left"/>
      <w:pPr>
        <w:ind w:left="9982" w:hanging="361"/>
      </w:pPr>
      <w:rPr>
        <w:rFonts w:hint="default"/>
        <w:lang w:val="en-US" w:eastAsia="en-US" w:bidi="ar-SA"/>
      </w:rPr>
    </w:lvl>
    <w:lvl w:ilvl="8" w:tplc="3F8C664A">
      <w:numFmt w:val="bullet"/>
      <w:lvlText w:val="•"/>
      <w:lvlJc w:val="left"/>
      <w:pPr>
        <w:ind w:left="11275" w:hanging="361"/>
      </w:pPr>
      <w:rPr>
        <w:rFonts w:hint="default"/>
        <w:lang w:val="en-US" w:eastAsia="en-US" w:bidi="ar-SA"/>
      </w:rPr>
    </w:lvl>
  </w:abstractNum>
  <w:abstractNum w:abstractNumId="1" w15:restartNumberingAfterBreak="0">
    <w:nsid w:val="150176E6"/>
    <w:multiLevelType w:val="hybridMultilevel"/>
    <w:tmpl w:val="F880E5F2"/>
    <w:lvl w:ilvl="0" w:tplc="3388329C">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6709F2"/>
    <w:multiLevelType w:val="hybridMultilevel"/>
    <w:tmpl w:val="2DC2DA8E"/>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8966823"/>
    <w:multiLevelType w:val="hybridMultilevel"/>
    <w:tmpl w:val="0862D0AA"/>
    <w:lvl w:ilvl="0" w:tplc="5C022A00">
      <w:numFmt w:val="bullet"/>
      <w:lvlText w:val=""/>
      <w:lvlJc w:val="left"/>
      <w:pPr>
        <w:ind w:left="920" w:hanging="360"/>
      </w:pPr>
      <w:rPr>
        <w:rFonts w:ascii="Symbol" w:eastAsia="Symbol" w:hAnsi="Symbol" w:cs="Symbol" w:hint="default"/>
        <w:w w:val="99"/>
        <w:sz w:val="20"/>
        <w:szCs w:val="20"/>
        <w:lang w:val="en-US" w:eastAsia="en-US" w:bidi="ar-SA"/>
      </w:rPr>
    </w:lvl>
    <w:lvl w:ilvl="1" w:tplc="5C022A00">
      <w:numFmt w:val="bullet"/>
      <w:lvlText w:val=""/>
      <w:lvlJc w:val="left"/>
      <w:pPr>
        <w:ind w:left="1640" w:hanging="360"/>
      </w:pPr>
      <w:rPr>
        <w:rFonts w:ascii="Symbol" w:eastAsia="Symbol" w:hAnsi="Symbol" w:cs="Symbol" w:hint="default"/>
        <w:w w:val="99"/>
        <w:sz w:val="20"/>
        <w:szCs w:val="20"/>
        <w:lang w:val="en-US" w:eastAsia="en-US" w:bidi="ar-SA"/>
      </w:rPr>
    </w:lvl>
    <w:lvl w:ilvl="2" w:tplc="08090005">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4" w15:restartNumberingAfterBreak="0">
    <w:nsid w:val="1DBD017E"/>
    <w:multiLevelType w:val="hybridMultilevel"/>
    <w:tmpl w:val="F7FC38B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36A5C06"/>
    <w:multiLevelType w:val="hybridMultilevel"/>
    <w:tmpl w:val="2070E65C"/>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start w:val="1"/>
      <w:numFmt w:val="bullet"/>
      <w:lvlText w:val=""/>
      <w:lvlJc w:val="left"/>
      <w:pPr>
        <w:ind w:left="3087" w:hanging="360"/>
      </w:pPr>
      <w:rPr>
        <w:rFonts w:ascii="Symbol" w:hAnsi="Symbol" w:hint="default"/>
      </w:rPr>
    </w:lvl>
    <w:lvl w:ilvl="4" w:tplc="08090003">
      <w:start w:val="1"/>
      <w:numFmt w:val="bullet"/>
      <w:lvlText w:val="o"/>
      <w:lvlJc w:val="left"/>
      <w:pPr>
        <w:ind w:left="3807" w:hanging="360"/>
      </w:pPr>
      <w:rPr>
        <w:rFonts w:ascii="Courier New" w:hAnsi="Courier New" w:cs="Courier New" w:hint="default"/>
      </w:rPr>
    </w:lvl>
    <w:lvl w:ilvl="5" w:tplc="08090005">
      <w:start w:val="1"/>
      <w:numFmt w:val="bullet"/>
      <w:lvlText w:val=""/>
      <w:lvlJc w:val="left"/>
      <w:pPr>
        <w:ind w:left="4527" w:hanging="360"/>
      </w:pPr>
      <w:rPr>
        <w:rFonts w:ascii="Wingdings" w:hAnsi="Wingdings" w:hint="default"/>
      </w:rPr>
    </w:lvl>
    <w:lvl w:ilvl="6" w:tplc="08090001">
      <w:start w:val="1"/>
      <w:numFmt w:val="bullet"/>
      <w:lvlText w:val=""/>
      <w:lvlJc w:val="left"/>
      <w:pPr>
        <w:ind w:left="5247" w:hanging="360"/>
      </w:pPr>
      <w:rPr>
        <w:rFonts w:ascii="Symbol" w:hAnsi="Symbol" w:hint="default"/>
      </w:rPr>
    </w:lvl>
    <w:lvl w:ilvl="7" w:tplc="08090003">
      <w:start w:val="1"/>
      <w:numFmt w:val="bullet"/>
      <w:lvlText w:val="o"/>
      <w:lvlJc w:val="left"/>
      <w:pPr>
        <w:ind w:left="5967" w:hanging="360"/>
      </w:pPr>
      <w:rPr>
        <w:rFonts w:ascii="Courier New" w:hAnsi="Courier New" w:cs="Courier New" w:hint="default"/>
      </w:rPr>
    </w:lvl>
    <w:lvl w:ilvl="8" w:tplc="08090005">
      <w:start w:val="1"/>
      <w:numFmt w:val="bullet"/>
      <w:lvlText w:val=""/>
      <w:lvlJc w:val="left"/>
      <w:pPr>
        <w:ind w:left="6687" w:hanging="360"/>
      </w:pPr>
      <w:rPr>
        <w:rFonts w:ascii="Wingdings" w:hAnsi="Wingdings" w:hint="default"/>
      </w:rPr>
    </w:lvl>
  </w:abstractNum>
  <w:abstractNum w:abstractNumId="6"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215917"/>
    <w:multiLevelType w:val="hybridMultilevel"/>
    <w:tmpl w:val="3B7ED72A"/>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8" w15:restartNumberingAfterBreak="0">
    <w:nsid w:val="32C57AB9"/>
    <w:multiLevelType w:val="hybridMultilevel"/>
    <w:tmpl w:val="C602C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BF6030"/>
    <w:multiLevelType w:val="hybridMultilevel"/>
    <w:tmpl w:val="1CD68E04"/>
    <w:lvl w:ilvl="0" w:tplc="95321616">
      <w:numFmt w:val="bullet"/>
      <w:lvlText w:val=""/>
      <w:lvlJc w:val="left"/>
      <w:pPr>
        <w:ind w:left="521" w:hanging="361"/>
      </w:pPr>
      <w:rPr>
        <w:rFonts w:ascii="Symbol" w:eastAsia="Symbol" w:hAnsi="Symbol" w:cs="Symbol" w:hint="default"/>
        <w:w w:val="100"/>
        <w:sz w:val="22"/>
        <w:szCs w:val="22"/>
        <w:lang w:val="en-US" w:eastAsia="en-US" w:bidi="ar-SA"/>
      </w:rPr>
    </w:lvl>
    <w:lvl w:ilvl="1" w:tplc="97344FD0">
      <w:numFmt w:val="bullet"/>
      <w:lvlText w:val="•"/>
      <w:lvlJc w:val="left"/>
      <w:pPr>
        <w:ind w:left="1813" w:hanging="361"/>
      </w:pPr>
      <w:rPr>
        <w:rFonts w:hint="default"/>
        <w:lang w:val="en-US" w:eastAsia="en-US" w:bidi="ar-SA"/>
      </w:rPr>
    </w:lvl>
    <w:lvl w:ilvl="2" w:tplc="6BFC0062">
      <w:numFmt w:val="bullet"/>
      <w:lvlText w:val="•"/>
      <w:lvlJc w:val="left"/>
      <w:pPr>
        <w:ind w:left="3107" w:hanging="361"/>
      </w:pPr>
      <w:rPr>
        <w:rFonts w:hint="default"/>
        <w:lang w:val="en-US" w:eastAsia="en-US" w:bidi="ar-SA"/>
      </w:rPr>
    </w:lvl>
    <w:lvl w:ilvl="3" w:tplc="1722D69C">
      <w:numFmt w:val="bullet"/>
      <w:lvlText w:val="•"/>
      <w:lvlJc w:val="left"/>
      <w:pPr>
        <w:ind w:left="4400" w:hanging="361"/>
      </w:pPr>
      <w:rPr>
        <w:rFonts w:hint="default"/>
        <w:lang w:val="en-US" w:eastAsia="en-US" w:bidi="ar-SA"/>
      </w:rPr>
    </w:lvl>
    <w:lvl w:ilvl="4" w:tplc="BC4E9902">
      <w:numFmt w:val="bullet"/>
      <w:lvlText w:val="•"/>
      <w:lvlJc w:val="left"/>
      <w:pPr>
        <w:ind w:left="5694" w:hanging="361"/>
      </w:pPr>
      <w:rPr>
        <w:rFonts w:hint="default"/>
        <w:lang w:val="en-US" w:eastAsia="en-US" w:bidi="ar-SA"/>
      </w:rPr>
    </w:lvl>
    <w:lvl w:ilvl="5" w:tplc="5F4C4F8A">
      <w:numFmt w:val="bullet"/>
      <w:lvlText w:val="•"/>
      <w:lvlJc w:val="left"/>
      <w:pPr>
        <w:ind w:left="6988" w:hanging="361"/>
      </w:pPr>
      <w:rPr>
        <w:rFonts w:hint="default"/>
        <w:lang w:val="en-US" w:eastAsia="en-US" w:bidi="ar-SA"/>
      </w:rPr>
    </w:lvl>
    <w:lvl w:ilvl="6" w:tplc="DF48831A">
      <w:numFmt w:val="bullet"/>
      <w:lvlText w:val="•"/>
      <w:lvlJc w:val="left"/>
      <w:pPr>
        <w:ind w:left="8281" w:hanging="361"/>
      </w:pPr>
      <w:rPr>
        <w:rFonts w:hint="default"/>
        <w:lang w:val="en-US" w:eastAsia="en-US" w:bidi="ar-SA"/>
      </w:rPr>
    </w:lvl>
    <w:lvl w:ilvl="7" w:tplc="11241890">
      <w:numFmt w:val="bullet"/>
      <w:lvlText w:val="•"/>
      <w:lvlJc w:val="left"/>
      <w:pPr>
        <w:ind w:left="9575" w:hanging="361"/>
      </w:pPr>
      <w:rPr>
        <w:rFonts w:hint="default"/>
        <w:lang w:val="en-US" w:eastAsia="en-US" w:bidi="ar-SA"/>
      </w:rPr>
    </w:lvl>
    <w:lvl w:ilvl="8" w:tplc="B85C4B3E">
      <w:numFmt w:val="bullet"/>
      <w:lvlText w:val="•"/>
      <w:lvlJc w:val="left"/>
      <w:pPr>
        <w:ind w:left="10868" w:hanging="361"/>
      </w:pPr>
      <w:rPr>
        <w:rFonts w:hint="default"/>
        <w:lang w:val="en-US" w:eastAsia="en-US" w:bidi="ar-SA"/>
      </w:rPr>
    </w:lvl>
  </w:abstractNum>
  <w:abstractNum w:abstractNumId="10" w15:restartNumberingAfterBreak="0">
    <w:nsid w:val="3D01041F"/>
    <w:multiLevelType w:val="hybridMultilevel"/>
    <w:tmpl w:val="8060436E"/>
    <w:lvl w:ilvl="0" w:tplc="CC6858E2">
      <w:numFmt w:val="bullet"/>
      <w:lvlText w:val="•"/>
      <w:lvlJc w:val="left"/>
      <w:pPr>
        <w:ind w:left="720" w:hanging="360"/>
      </w:pPr>
      <w:rPr>
        <w:rFonts w:ascii="Calibri" w:hAnsi="Calibri" w:cs="Calibri" w:hint="default"/>
        <w:color w:val="auto"/>
        <w:w w:val="100"/>
        <w:sz w:val="24"/>
        <w:szCs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FB969CB"/>
    <w:multiLevelType w:val="hybridMultilevel"/>
    <w:tmpl w:val="A8569BB4"/>
    <w:lvl w:ilvl="0" w:tplc="CC6858E2">
      <w:numFmt w:val="bullet"/>
      <w:lvlText w:val="•"/>
      <w:lvlJc w:val="left"/>
      <w:pPr>
        <w:ind w:left="360" w:hanging="360"/>
      </w:pPr>
      <w:rPr>
        <w:rFonts w:ascii="Calibri" w:hAnsi="Calibri" w:cs="Calibri" w:hint="default"/>
        <w:color w:val="auto"/>
        <w:w w:val="100"/>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FED3A8A"/>
    <w:multiLevelType w:val="hybridMultilevel"/>
    <w:tmpl w:val="1916B798"/>
    <w:lvl w:ilvl="0" w:tplc="5C022A00">
      <w:numFmt w:val="bullet"/>
      <w:lvlText w:val=""/>
      <w:lvlJc w:val="left"/>
      <w:pPr>
        <w:ind w:left="920" w:hanging="360"/>
      </w:pPr>
      <w:rPr>
        <w:rFonts w:ascii="Symbol" w:eastAsia="Symbol" w:hAnsi="Symbol" w:cs="Symbol" w:hint="default"/>
        <w:w w:val="99"/>
        <w:sz w:val="20"/>
        <w:szCs w:val="20"/>
        <w:lang w:val="en-US" w:eastAsia="en-US" w:bidi="ar-SA"/>
      </w:rPr>
    </w:lvl>
    <w:lvl w:ilvl="1" w:tplc="08090009">
      <w:start w:val="1"/>
      <w:numFmt w:val="bullet"/>
      <w:lvlText w:val=""/>
      <w:lvlJc w:val="left"/>
      <w:pPr>
        <w:ind w:left="1640" w:hanging="360"/>
      </w:pPr>
      <w:rPr>
        <w:rFonts w:ascii="Wingdings" w:hAnsi="Wingdings" w:hint="default"/>
        <w:w w:val="99"/>
        <w:sz w:val="20"/>
        <w:szCs w:val="20"/>
        <w:lang w:val="en-US" w:eastAsia="en-US" w:bidi="ar-SA"/>
      </w:rPr>
    </w:lvl>
    <w:lvl w:ilvl="2" w:tplc="08090005">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13" w15:restartNumberingAfterBreak="0">
    <w:nsid w:val="405D6227"/>
    <w:multiLevelType w:val="hybridMultilevel"/>
    <w:tmpl w:val="55ECC60C"/>
    <w:lvl w:ilvl="0" w:tplc="08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4" w15:restartNumberingAfterBreak="0">
    <w:nsid w:val="42CB1578"/>
    <w:multiLevelType w:val="hybridMultilevel"/>
    <w:tmpl w:val="7E343516"/>
    <w:lvl w:ilvl="0" w:tplc="08090001">
      <w:start w:val="1"/>
      <w:numFmt w:val="bullet"/>
      <w:lvlText w:val=""/>
      <w:lvlJc w:val="left"/>
      <w:pPr>
        <w:ind w:left="1287" w:hanging="360"/>
      </w:pPr>
      <w:rPr>
        <w:rFonts w:ascii="Symbol" w:hAnsi="Symbol" w:hint="default"/>
        <w:w w:val="99"/>
        <w:sz w:val="22"/>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5" w15:restartNumberingAfterBreak="0">
    <w:nsid w:val="43FB3646"/>
    <w:multiLevelType w:val="hybridMultilevel"/>
    <w:tmpl w:val="CA1ABDFE"/>
    <w:lvl w:ilvl="0" w:tplc="DCF4277C">
      <w:numFmt w:val="bullet"/>
      <w:lvlText w:val=""/>
      <w:lvlJc w:val="left"/>
      <w:pPr>
        <w:ind w:left="1287" w:hanging="360"/>
      </w:pPr>
      <w:rPr>
        <w:rFonts w:ascii="Symbol" w:hAnsi="Symbol" w:cs="Symbol" w:hint="default"/>
        <w:w w:val="99"/>
        <w:sz w:val="22"/>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5B981189"/>
    <w:multiLevelType w:val="hybridMultilevel"/>
    <w:tmpl w:val="C4AEE1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601A132D"/>
    <w:multiLevelType w:val="hybridMultilevel"/>
    <w:tmpl w:val="A76444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9" w15:restartNumberingAfterBreak="0">
    <w:nsid w:val="74C31C45"/>
    <w:multiLevelType w:val="hybridMultilevel"/>
    <w:tmpl w:val="4FC22050"/>
    <w:lvl w:ilvl="0" w:tplc="9490BB20">
      <w:start w:val="30"/>
      <w:numFmt w:val="bullet"/>
      <w:lvlText w:val=""/>
      <w:lvlJc w:val="left"/>
      <w:pPr>
        <w:ind w:left="720" w:hanging="360"/>
      </w:pPr>
      <w:rPr>
        <w:rFonts w:ascii="Symbol" w:eastAsia="Verdana"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400D88"/>
    <w:multiLevelType w:val="hybridMultilevel"/>
    <w:tmpl w:val="BD226596"/>
    <w:lvl w:ilvl="0" w:tplc="CC6858E2">
      <w:numFmt w:val="bullet"/>
      <w:lvlText w:val="•"/>
      <w:lvlJc w:val="left"/>
      <w:pPr>
        <w:ind w:left="360" w:hanging="360"/>
      </w:pPr>
      <w:rPr>
        <w:rFonts w:ascii="Calibri" w:hAnsi="Calibri" w:cs="Calibri" w:hint="default"/>
        <w:color w:val="auto"/>
        <w:w w:val="100"/>
        <w:sz w:val="24"/>
        <w:szCs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020572804">
    <w:abstractNumId w:val="6"/>
  </w:num>
  <w:num w:numId="2" w16cid:durableId="938295634">
    <w:abstractNumId w:val="17"/>
  </w:num>
  <w:num w:numId="3" w16cid:durableId="693455687">
    <w:abstractNumId w:val="18"/>
  </w:num>
  <w:num w:numId="4" w16cid:durableId="366030039">
    <w:abstractNumId w:val="11"/>
  </w:num>
  <w:num w:numId="5" w16cid:durableId="658659242">
    <w:abstractNumId w:val="20"/>
  </w:num>
  <w:num w:numId="6" w16cid:durableId="738864688">
    <w:abstractNumId w:val="19"/>
  </w:num>
  <w:num w:numId="7" w16cid:durableId="651324978">
    <w:abstractNumId w:val="13"/>
  </w:num>
  <w:num w:numId="8" w16cid:durableId="1030302539">
    <w:abstractNumId w:val="5"/>
  </w:num>
  <w:num w:numId="9" w16cid:durableId="32730482">
    <w:abstractNumId w:val="16"/>
  </w:num>
  <w:num w:numId="10" w16cid:durableId="211769087">
    <w:abstractNumId w:val="3"/>
  </w:num>
  <w:num w:numId="11" w16cid:durableId="165173578">
    <w:abstractNumId w:val="10"/>
  </w:num>
  <w:num w:numId="12" w16cid:durableId="1866749902">
    <w:abstractNumId w:val="1"/>
  </w:num>
  <w:num w:numId="13" w16cid:durableId="4676720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21764808">
    <w:abstractNumId w:val="9"/>
  </w:num>
  <w:num w:numId="15" w16cid:durableId="1023869053">
    <w:abstractNumId w:val="12"/>
  </w:num>
  <w:num w:numId="16" w16cid:durableId="62728289">
    <w:abstractNumId w:val="2"/>
  </w:num>
  <w:num w:numId="17" w16cid:durableId="486944663">
    <w:abstractNumId w:val="7"/>
  </w:num>
  <w:num w:numId="18" w16cid:durableId="2019261589">
    <w:abstractNumId w:val="4"/>
  </w:num>
  <w:num w:numId="19" w16cid:durableId="1337534547">
    <w:abstractNumId w:val="0"/>
  </w:num>
  <w:num w:numId="20" w16cid:durableId="28722306">
    <w:abstractNumId w:val="8"/>
  </w:num>
  <w:num w:numId="21" w16cid:durableId="1895047409">
    <w:abstractNumId w:val="15"/>
  </w:num>
  <w:num w:numId="22" w16cid:durableId="186419956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2ADC"/>
    <w:rsid w:val="0002249E"/>
    <w:rsid w:val="00034A01"/>
    <w:rsid w:val="0007180F"/>
    <w:rsid w:val="00087F54"/>
    <w:rsid w:val="00091ABE"/>
    <w:rsid w:val="0009383C"/>
    <w:rsid w:val="00096513"/>
    <w:rsid w:val="000A2ADC"/>
    <w:rsid w:val="000C25F4"/>
    <w:rsid w:val="000D0917"/>
    <w:rsid w:val="000F437D"/>
    <w:rsid w:val="0011265E"/>
    <w:rsid w:val="00134A94"/>
    <w:rsid w:val="001406DC"/>
    <w:rsid w:val="00152F37"/>
    <w:rsid w:val="00165452"/>
    <w:rsid w:val="00190CE2"/>
    <w:rsid w:val="001B7CA8"/>
    <w:rsid w:val="001C6BE0"/>
    <w:rsid w:val="001D320B"/>
    <w:rsid w:val="001F5F0E"/>
    <w:rsid w:val="00203B76"/>
    <w:rsid w:val="002124E2"/>
    <w:rsid w:val="0021461F"/>
    <w:rsid w:val="00232439"/>
    <w:rsid w:val="0029016D"/>
    <w:rsid w:val="00297FB6"/>
    <w:rsid w:val="002A7FBA"/>
    <w:rsid w:val="002B182A"/>
    <w:rsid w:val="002C226B"/>
    <w:rsid w:val="002D2B15"/>
    <w:rsid w:val="002D4CF1"/>
    <w:rsid w:val="002E753D"/>
    <w:rsid w:val="00336207"/>
    <w:rsid w:val="00350702"/>
    <w:rsid w:val="00360A68"/>
    <w:rsid w:val="00364148"/>
    <w:rsid w:val="00365579"/>
    <w:rsid w:val="0036622A"/>
    <w:rsid w:val="00384048"/>
    <w:rsid w:val="003A2499"/>
    <w:rsid w:val="003A3F6D"/>
    <w:rsid w:val="003B1702"/>
    <w:rsid w:val="003F1A57"/>
    <w:rsid w:val="003F3E30"/>
    <w:rsid w:val="00401278"/>
    <w:rsid w:val="00402FE9"/>
    <w:rsid w:val="00403711"/>
    <w:rsid w:val="004137DE"/>
    <w:rsid w:val="004172E1"/>
    <w:rsid w:val="00423278"/>
    <w:rsid w:val="00423E4B"/>
    <w:rsid w:val="004553E3"/>
    <w:rsid w:val="00464E10"/>
    <w:rsid w:val="004A4D8F"/>
    <w:rsid w:val="004C092E"/>
    <w:rsid w:val="004D2C2A"/>
    <w:rsid w:val="004F3D6C"/>
    <w:rsid w:val="00502636"/>
    <w:rsid w:val="005302DB"/>
    <w:rsid w:val="00531587"/>
    <w:rsid w:val="00531AA6"/>
    <w:rsid w:val="0054352B"/>
    <w:rsid w:val="00555B92"/>
    <w:rsid w:val="00576A06"/>
    <w:rsid w:val="005932EA"/>
    <w:rsid w:val="005B6249"/>
    <w:rsid w:val="005B72D4"/>
    <w:rsid w:val="005C71DB"/>
    <w:rsid w:val="005E23C5"/>
    <w:rsid w:val="005E3F8C"/>
    <w:rsid w:val="00603EE9"/>
    <w:rsid w:val="00607417"/>
    <w:rsid w:val="006101B0"/>
    <w:rsid w:val="00611EAB"/>
    <w:rsid w:val="0065340E"/>
    <w:rsid w:val="00666A0D"/>
    <w:rsid w:val="00681A85"/>
    <w:rsid w:val="006853DE"/>
    <w:rsid w:val="006A33A9"/>
    <w:rsid w:val="006D7182"/>
    <w:rsid w:val="00711DF9"/>
    <w:rsid w:val="00731CD9"/>
    <w:rsid w:val="007A5F6D"/>
    <w:rsid w:val="007C61B6"/>
    <w:rsid w:val="007F57CB"/>
    <w:rsid w:val="00802B06"/>
    <w:rsid w:val="0083045C"/>
    <w:rsid w:val="0083723B"/>
    <w:rsid w:val="00840BDB"/>
    <w:rsid w:val="00854D09"/>
    <w:rsid w:val="00883874"/>
    <w:rsid w:val="00887587"/>
    <w:rsid w:val="00893069"/>
    <w:rsid w:val="008B7D3E"/>
    <w:rsid w:val="008D501B"/>
    <w:rsid w:val="008E4F7D"/>
    <w:rsid w:val="00904783"/>
    <w:rsid w:val="009200D4"/>
    <w:rsid w:val="00930D2D"/>
    <w:rsid w:val="00941653"/>
    <w:rsid w:val="0097058E"/>
    <w:rsid w:val="00971F26"/>
    <w:rsid w:val="00995393"/>
    <w:rsid w:val="00997461"/>
    <w:rsid w:val="009975E9"/>
    <w:rsid w:val="009A54F7"/>
    <w:rsid w:val="009B0876"/>
    <w:rsid w:val="009F0189"/>
    <w:rsid w:val="009F1168"/>
    <w:rsid w:val="00A07766"/>
    <w:rsid w:val="00A15C18"/>
    <w:rsid w:val="00A230EF"/>
    <w:rsid w:val="00A46A72"/>
    <w:rsid w:val="00A6361F"/>
    <w:rsid w:val="00A6394D"/>
    <w:rsid w:val="00A656EB"/>
    <w:rsid w:val="00A7234F"/>
    <w:rsid w:val="00A91FD8"/>
    <w:rsid w:val="00A96CF1"/>
    <w:rsid w:val="00AB38EF"/>
    <w:rsid w:val="00AB47BD"/>
    <w:rsid w:val="00AC3B62"/>
    <w:rsid w:val="00AC6084"/>
    <w:rsid w:val="00AD3A69"/>
    <w:rsid w:val="00AD49B2"/>
    <w:rsid w:val="00AF7919"/>
    <w:rsid w:val="00B33BEC"/>
    <w:rsid w:val="00B735F6"/>
    <w:rsid w:val="00B83427"/>
    <w:rsid w:val="00BC3E9E"/>
    <w:rsid w:val="00BD57A6"/>
    <w:rsid w:val="00BF3F8C"/>
    <w:rsid w:val="00C24332"/>
    <w:rsid w:val="00C2473A"/>
    <w:rsid w:val="00C3537A"/>
    <w:rsid w:val="00C527F7"/>
    <w:rsid w:val="00C52823"/>
    <w:rsid w:val="00C75D84"/>
    <w:rsid w:val="00C81C32"/>
    <w:rsid w:val="00CA0B1C"/>
    <w:rsid w:val="00CA76C2"/>
    <w:rsid w:val="00CB331C"/>
    <w:rsid w:val="00CD221F"/>
    <w:rsid w:val="00CD3167"/>
    <w:rsid w:val="00CD34E2"/>
    <w:rsid w:val="00CD7A9C"/>
    <w:rsid w:val="00CE10BD"/>
    <w:rsid w:val="00CE325D"/>
    <w:rsid w:val="00D05B78"/>
    <w:rsid w:val="00D3332F"/>
    <w:rsid w:val="00D564EE"/>
    <w:rsid w:val="00D657BF"/>
    <w:rsid w:val="00D72510"/>
    <w:rsid w:val="00D7492D"/>
    <w:rsid w:val="00D81977"/>
    <w:rsid w:val="00D835C7"/>
    <w:rsid w:val="00D93196"/>
    <w:rsid w:val="00DA575D"/>
    <w:rsid w:val="00DB2F70"/>
    <w:rsid w:val="00DB7005"/>
    <w:rsid w:val="00DC01C5"/>
    <w:rsid w:val="00DC72A8"/>
    <w:rsid w:val="00DE4457"/>
    <w:rsid w:val="00DF3CB5"/>
    <w:rsid w:val="00E10F82"/>
    <w:rsid w:val="00E25CF9"/>
    <w:rsid w:val="00E272A4"/>
    <w:rsid w:val="00E326FD"/>
    <w:rsid w:val="00E556DE"/>
    <w:rsid w:val="00E93FA5"/>
    <w:rsid w:val="00E970F4"/>
    <w:rsid w:val="00EA0565"/>
    <w:rsid w:val="00EB4230"/>
    <w:rsid w:val="00EB6FA8"/>
    <w:rsid w:val="00EC0BCE"/>
    <w:rsid w:val="00ED31F4"/>
    <w:rsid w:val="00EE59B4"/>
    <w:rsid w:val="00F0646F"/>
    <w:rsid w:val="00F106F4"/>
    <w:rsid w:val="00F80DE3"/>
    <w:rsid w:val="00F9166C"/>
    <w:rsid w:val="00F92CB2"/>
    <w:rsid w:val="00FB60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ADF4E0"/>
  <w15:chartTrackingRefBased/>
  <w15:docId w15:val="{34A044EC-3B55-4E1A-A1FE-5EE74969E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2A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A2A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2ADC"/>
  </w:style>
  <w:style w:type="character" w:styleId="PageNumber">
    <w:name w:val="page number"/>
    <w:basedOn w:val="DefaultParagraphFont"/>
    <w:rsid w:val="000A2ADC"/>
  </w:style>
  <w:style w:type="table" w:customStyle="1" w:styleId="TableGrid4">
    <w:name w:val="Table Grid4"/>
    <w:basedOn w:val="TableNormal"/>
    <w:next w:val="TableGrid"/>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838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874"/>
  </w:style>
  <w:style w:type="character" w:styleId="Hyperlink">
    <w:name w:val="Hyperlink"/>
    <w:basedOn w:val="DefaultParagraphFont"/>
    <w:uiPriority w:val="99"/>
    <w:unhideWhenUsed/>
    <w:rsid w:val="003B1702"/>
    <w:rPr>
      <w:color w:val="0000FF"/>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列出段落"/>
    <w:basedOn w:val="Normal"/>
    <w:link w:val="ListParagraphChar"/>
    <w:uiPriority w:val="34"/>
    <w:qFormat/>
    <w:rsid w:val="00731CD9"/>
    <w:pPr>
      <w:ind w:left="720"/>
      <w:contextualSpacing/>
    </w:pPr>
  </w:style>
  <w:style w:type="character" w:styleId="CommentReference">
    <w:name w:val="annotation reference"/>
    <w:basedOn w:val="DefaultParagraphFont"/>
    <w:uiPriority w:val="99"/>
    <w:semiHidden/>
    <w:unhideWhenUsed/>
    <w:rsid w:val="00CB331C"/>
    <w:rPr>
      <w:sz w:val="16"/>
      <w:szCs w:val="16"/>
    </w:rPr>
  </w:style>
  <w:style w:type="paragraph" w:styleId="CommentText">
    <w:name w:val="annotation text"/>
    <w:basedOn w:val="Normal"/>
    <w:link w:val="CommentTextChar"/>
    <w:uiPriority w:val="99"/>
    <w:semiHidden/>
    <w:unhideWhenUsed/>
    <w:rsid w:val="00CB331C"/>
    <w:pPr>
      <w:spacing w:line="240" w:lineRule="auto"/>
    </w:pPr>
    <w:rPr>
      <w:sz w:val="20"/>
      <w:szCs w:val="20"/>
    </w:rPr>
  </w:style>
  <w:style w:type="character" w:customStyle="1" w:styleId="CommentTextChar">
    <w:name w:val="Comment Text Char"/>
    <w:basedOn w:val="DefaultParagraphFont"/>
    <w:link w:val="CommentText"/>
    <w:uiPriority w:val="99"/>
    <w:semiHidden/>
    <w:rsid w:val="00CB331C"/>
    <w:rPr>
      <w:sz w:val="20"/>
      <w:szCs w:val="20"/>
    </w:rPr>
  </w:style>
  <w:style w:type="paragraph" w:styleId="CommentSubject">
    <w:name w:val="annotation subject"/>
    <w:basedOn w:val="CommentText"/>
    <w:next w:val="CommentText"/>
    <w:link w:val="CommentSubjectChar"/>
    <w:uiPriority w:val="99"/>
    <w:semiHidden/>
    <w:unhideWhenUsed/>
    <w:rsid w:val="00CB331C"/>
    <w:rPr>
      <w:b/>
      <w:bCs/>
    </w:rPr>
  </w:style>
  <w:style w:type="character" w:customStyle="1" w:styleId="CommentSubjectChar">
    <w:name w:val="Comment Subject Char"/>
    <w:basedOn w:val="CommentTextChar"/>
    <w:link w:val="CommentSubject"/>
    <w:uiPriority w:val="99"/>
    <w:semiHidden/>
    <w:rsid w:val="00CB331C"/>
    <w:rPr>
      <w:b/>
      <w:bCs/>
      <w:sz w:val="20"/>
      <w:szCs w:val="20"/>
    </w:rPr>
  </w:style>
  <w:style w:type="paragraph" w:styleId="BalloonText">
    <w:name w:val="Balloon Text"/>
    <w:basedOn w:val="Normal"/>
    <w:link w:val="BalloonTextChar"/>
    <w:uiPriority w:val="99"/>
    <w:semiHidden/>
    <w:unhideWhenUsed/>
    <w:rsid w:val="00CB33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331C"/>
    <w:rPr>
      <w:rFonts w:ascii="Segoe UI" w:hAnsi="Segoe UI" w:cs="Segoe UI"/>
      <w:sz w:val="18"/>
      <w:szCs w:val="18"/>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7A5F6D"/>
  </w:style>
  <w:style w:type="paragraph" w:customStyle="1" w:styleId="TableParagraph">
    <w:name w:val="Table Paragraph"/>
    <w:basedOn w:val="Normal"/>
    <w:uiPriority w:val="1"/>
    <w:qFormat/>
    <w:rsid w:val="0083723B"/>
    <w:pPr>
      <w:widowControl w:val="0"/>
      <w:autoSpaceDE w:val="0"/>
      <w:autoSpaceDN w:val="0"/>
      <w:spacing w:after="0" w:line="240" w:lineRule="auto"/>
      <w:jc w:val="center"/>
    </w:pPr>
    <w:rPr>
      <w:rFonts w:ascii="Calibri" w:eastAsia="Calibri" w:hAnsi="Calibri" w:cs="Calibri"/>
      <w:lang w:val="en-US"/>
    </w:rPr>
  </w:style>
  <w:style w:type="paragraph" w:customStyle="1" w:styleId="Default">
    <w:name w:val="Default"/>
    <w:rsid w:val="00E10F82"/>
    <w:pPr>
      <w:autoSpaceDE w:val="0"/>
      <w:autoSpaceDN w:val="0"/>
      <w:adjustRightInd w:val="0"/>
      <w:spacing w:after="0" w:line="240" w:lineRule="auto"/>
    </w:pPr>
    <w:rPr>
      <w:rFonts w:ascii="Verdana" w:hAnsi="Verdana" w:cs="Verdana"/>
      <w:color w:val="000000"/>
      <w:sz w:val="24"/>
      <w:szCs w:val="24"/>
    </w:rPr>
  </w:style>
  <w:style w:type="paragraph" w:styleId="BodyText">
    <w:name w:val="Body Text"/>
    <w:basedOn w:val="Normal"/>
    <w:link w:val="BodyTextChar"/>
    <w:uiPriority w:val="1"/>
    <w:qFormat/>
    <w:rsid w:val="00C81C32"/>
    <w:pPr>
      <w:widowControl w:val="0"/>
      <w:autoSpaceDE w:val="0"/>
      <w:autoSpaceDN w:val="0"/>
      <w:spacing w:after="0" w:line="240" w:lineRule="auto"/>
    </w:pPr>
    <w:rPr>
      <w:rFonts w:ascii="Calibri" w:eastAsia="Calibri" w:hAnsi="Calibri" w:cs="Calibri"/>
      <w:sz w:val="20"/>
      <w:szCs w:val="20"/>
      <w:lang w:val="en-US"/>
    </w:rPr>
  </w:style>
  <w:style w:type="character" w:customStyle="1" w:styleId="BodyTextChar">
    <w:name w:val="Body Text Char"/>
    <w:basedOn w:val="DefaultParagraphFont"/>
    <w:link w:val="BodyText"/>
    <w:uiPriority w:val="1"/>
    <w:rsid w:val="00C81C32"/>
    <w:rPr>
      <w:rFonts w:ascii="Calibri" w:eastAsia="Calibri" w:hAnsi="Calibri" w:cs="Calibri"/>
      <w:sz w:val="20"/>
      <w:szCs w:val="20"/>
      <w:lang w:val="en-US"/>
    </w:rPr>
  </w:style>
  <w:style w:type="character" w:styleId="FollowedHyperlink">
    <w:name w:val="FollowedHyperlink"/>
    <w:basedOn w:val="DefaultParagraphFont"/>
    <w:uiPriority w:val="99"/>
    <w:semiHidden/>
    <w:unhideWhenUsed/>
    <w:rsid w:val="00EB6FA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3170844">
      <w:bodyDiv w:val="1"/>
      <w:marLeft w:val="0"/>
      <w:marRight w:val="0"/>
      <w:marTop w:val="0"/>
      <w:marBottom w:val="0"/>
      <w:divBdr>
        <w:top w:val="none" w:sz="0" w:space="0" w:color="auto"/>
        <w:left w:val="none" w:sz="0" w:space="0" w:color="auto"/>
        <w:bottom w:val="none" w:sz="0" w:space="0" w:color="auto"/>
        <w:right w:val="none" w:sz="0" w:space="0" w:color="auto"/>
      </w:divBdr>
    </w:div>
    <w:div w:id="426926175">
      <w:bodyDiv w:val="1"/>
      <w:marLeft w:val="0"/>
      <w:marRight w:val="0"/>
      <w:marTop w:val="0"/>
      <w:marBottom w:val="0"/>
      <w:divBdr>
        <w:top w:val="none" w:sz="0" w:space="0" w:color="auto"/>
        <w:left w:val="none" w:sz="0" w:space="0" w:color="auto"/>
        <w:bottom w:val="none" w:sz="0" w:space="0" w:color="auto"/>
        <w:right w:val="none" w:sz="0" w:space="0" w:color="auto"/>
      </w:divBdr>
    </w:div>
    <w:div w:id="730736876">
      <w:bodyDiv w:val="1"/>
      <w:marLeft w:val="0"/>
      <w:marRight w:val="0"/>
      <w:marTop w:val="0"/>
      <w:marBottom w:val="0"/>
      <w:divBdr>
        <w:top w:val="none" w:sz="0" w:space="0" w:color="auto"/>
        <w:left w:val="none" w:sz="0" w:space="0" w:color="auto"/>
        <w:bottom w:val="none" w:sz="0" w:space="0" w:color="auto"/>
        <w:right w:val="none" w:sz="0" w:space="0" w:color="auto"/>
      </w:divBdr>
    </w:div>
    <w:div w:id="897744559">
      <w:bodyDiv w:val="1"/>
      <w:marLeft w:val="0"/>
      <w:marRight w:val="0"/>
      <w:marTop w:val="0"/>
      <w:marBottom w:val="0"/>
      <w:divBdr>
        <w:top w:val="none" w:sz="0" w:space="0" w:color="auto"/>
        <w:left w:val="none" w:sz="0" w:space="0" w:color="auto"/>
        <w:bottom w:val="none" w:sz="0" w:space="0" w:color="auto"/>
        <w:right w:val="none" w:sz="0" w:space="0" w:color="auto"/>
      </w:divBdr>
    </w:div>
    <w:div w:id="1112557512">
      <w:bodyDiv w:val="1"/>
      <w:marLeft w:val="0"/>
      <w:marRight w:val="0"/>
      <w:marTop w:val="0"/>
      <w:marBottom w:val="0"/>
      <w:divBdr>
        <w:top w:val="none" w:sz="0" w:space="0" w:color="auto"/>
        <w:left w:val="none" w:sz="0" w:space="0" w:color="auto"/>
        <w:bottom w:val="none" w:sz="0" w:space="0" w:color="auto"/>
        <w:right w:val="none" w:sz="0" w:space="0" w:color="auto"/>
      </w:divBdr>
    </w:div>
    <w:div w:id="1155537188">
      <w:bodyDiv w:val="1"/>
      <w:marLeft w:val="0"/>
      <w:marRight w:val="0"/>
      <w:marTop w:val="0"/>
      <w:marBottom w:val="0"/>
      <w:divBdr>
        <w:top w:val="none" w:sz="0" w:space="0" w:color="auto"/>
        <w:left w:val="none" w:sz="0" w:space="0" w:color="auto"/>
        <w:bottom w:val="none" w:sz="0" w:space="0" w:color="auto"/>
        <w:right w:val="none" w:sz="0" w:space="0" w:color="auto"/>
      </w:divBdr>
    </w:div>
    <w:div w:id="1587685562">
      <w:bodyDiv w:val="1"/>
      <w:marLeft w:val="0"/>
      <w:marRight w:val="0"/>
      <w:marTop w:val="0"/>
      <w:marBottom w:val="0"/>
      <w:divBdr>
        <w:top w:val="none" w:sz="0" w:space="0" w:color="auto"/>
        <w:left w:val="none" w:sz="0" w:space="0" w:color="auto"/>
        <w:bottom w:val="none" w:sz="0" w:space="0" w:color="auto"/>
        <w:right w:val="none" w:sz="0" w:space="0" w:color="auto"/>
      </w:divBdr>
    </w:div>
    <w:div w:id="2109764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ales-public-health-rapid-overview.azurewebsites.net/" TargetMode="External"/><Relationship Id="rId18" Type="http://schemas.openxmlformats.org/officeDocument/2006/relationships/hyperlink" Target="https://wales-public-health-rapid-overview.azurewebsites.net/"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endnotes" Target="endnotes.xml"/><Relationship Id="rId12" Type="http://schemas.openxmlformats.org/officeDocument/2006/relationships/hyperlink" Target="https://phw-tableau.cymru.nhs.uk/t/CorporateAnalyticsPreProduction/views/RecoveryDashboardLandingPage/LandingPage?:linktarget=_self&amp;:embed=yes" TargetMode="External"/><Relationship Id="rId17" Type="http://schemas.openxmlformats.org/officeDocument/2006/relationships/hyperlink" Target="https://phw-tableau.cymru.nhs.uk/t/CorporateAnalyticsPreProduction/views/RecoveryDashboardLandingPage/LandingPage?:linktarget=_self&amp;:embed=yes"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phw-tableau.cymru.nhs.uk/#/site/CorporateAnalyticsPreProduction/views/RecoveryDashboardLandingPage/LandingPage?:iid=1" TargetMode="External"/><Relationship Id="rId23" Type="http://schemas.openxmlformats.org/officeDocument/2006/relationships/image" Target="media/image7.png"/><Relationship Id="rId10" Type="http://schemas.openxmlformats.org/officeDocument/2006/relationships/hyperlink" Target="http://www.wales.nhs.uk/governance-emanual/how-the-health-and-care-standards-are-st" TargetMode="Externa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hyperlink" Target="https://phw-tableau.cymru.nhs.uk/t/CorporateAnalyticsPreProduction/views/RecoveryDashboardLandingPage/LandingPage?:linktarget=_self&amp;:embed=yes" TargetMode="External"/><Relationship Id="rId22" Type="http://schemas.openxmlformats.org/officeDocument/2006/relationships/image" Target="media/image6.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017E5D2C7864C97BA82E637C6FB9B24"/>
        <w:category>
          <w:name w:val="General"/>
          <w:gallery w:val="placeholder"/>
        </w:category>
        <w:types>
          <w:type w:val="bbPlcHdr"/>
        </w:types>
        <w:behaviors>
          <w:behavior w:val="content"/>
        </w:behaviors>
        <w:guid w:val="{AA3C5C35-8486-4E89-966B-6274447BB73F}"/>
      </w:docPartPr>
      <w:docPartBody>
        <w:p w:rsidR="007E6B5B" w:rsidRDefault="0063685B" w:rsidP="0063685B">
          <w:pPr>
            <w:pStyle w:val="0017E5D2C7864C97BA82E637C6FB9B24"/>
          </w:pPr>
          <w:r w:rsidRPr="007D79E4">
            <w:rPr>
              <w:rStyle w:val="PlaceholderText"/>
              <w:szCs w:val="24"/>
            </w:rPr>
            <w:t>Choose an item.</w:t>
          </w:r>
        </w:p>
      </w:docPartBody>
    </w:docPart>
    <w:docPart>
      <w:docPartPr>
        <w:name w:val="D178AE7801394721A436DF684BE50CBB"/>
        <w:category>
          <w:name w:val="General"/>
          <w:gallery w:val="placeholder"/>
        </w:category>
        <w:types>
          <w:type w:val="bbPlcHdr"/>
        </w:types>
        <w:behaviors>
          <w:behavior w:val="content"/>
        </w:behaviors>
        <w:guid w:val="{D6B1F327-1F53-48E7-AB41-08DDDCA21EFC}"/>
      </w:docPartPr>
      <w:docPartBody>
        <w:p w:rsidR="007E6B5B" w:rsidRDefault="0063685B" w:rsidP="0063685B">
          <w:pPr>
            <w:pStyle w:val="D178AE7801394721A436DF684BE50CBB"/>
          </w:pPr>
          <w:r w:rsidRPr="0013075E">
            <w:rPr>
              <w:rStyle w:val="PlaceholderText"/>
              <w:szCs w:val="24"/>
            </w:rPr>
            <w:t>Choose an item.</w:t>
          </w:r>
        </w:p>
      </w:docPartBody>
    </w:docPart>
    <w:docPart>
      <w:docPartPr>
        <w:name w:val="FE97394D53524DD7833A54A90B84E4E7"/>
        <w:category>
          <w:name w:val="General"/>
          <w:gallery w:val="placeholder"/>
        </w:category>
        <w:types>
          <w:type w:val="bbPlcHdr"/>
        </w:types>
        <w:behaviors>
          <w:behavior w:val="content"/>
        </w:behaviors>
        <w:guid w:val="{4F5C5C77-727A-4645-AC20-E3ADFCB4538F}"/>
      </w:docPartPr>
      <w:docPartBody>
        <w:p w:rsidR="007E6B5B" w:rsidRDefault="0063685B" w:rsidP="0063685B">
          <w:pPr>
            <w:pStyle w:val="FE97394D53524DD7833A54A90B84E4E7"/>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85B"/>
    <w:rsid w:val="0063685B"/>
    <w:rsid w:val="007E6B5B"/>
    <w:rsid w:val="009B69F1"/>
    <w:rsid w:val="00A65E3D"/>
    <w:rsid w:val="00C43965"/>
    <w:rsid w:val="00DE43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685B"/>
    <w:rPr>
      <w:color w:val="808080"/>
    </w:rPr>
  </w:style>
  <w:style w:type="paragraph" w:customStyle="1" w:styleId="0017E5D2C7864C97BA82E637C6FB9B24">
    <w:name w:val="0017E5D2C7864C97BA82E637C6FB9B24"/>
    <w:rsid w:val="0063685B"/>
  </w:style>
  <w:style w:type="paragraph" w:customStyle="1" w:styleId="D178AE7801394721A436DF684BE50CBB">
    <w:name w:val="D178AE7801394721A436DF684BE50CBB"/>
    <w:rsid w:val="0063685B"/>
  </w:style>
  <w:style w:type="paragraph" w:customStyle="1" w:styleId="FE97394D53524DD7833A54A90B84E4E7">
    <w:name w:val="FE97394D53524DD7833A54A90B84E4E7"/>
    <w:rsid w:val="006368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DFC9FC-9031-46F9-8C63-E3FE64974E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7</Pages>
  <Words>2377</Words>
  <Characters>13551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Ioan Francis</dc:creator>
  <cp:keywords/>
  <dc:description/>
  <cp:lastModifiedBy>Liz Blayney (Public Health Wales - No. 2 Capital Quarter)</cp:lastModifiedBy>
  <cp:revision>15</cp:revision>
  <dcterms:created xsi:type="dcterms:W3CDTF">2023-03-23T17:55:00Z</dcterms:created>
  <dcterms:modified xsi:type="dcterms:W3CDTF">2023-07-20T18:58:00Z</dcterms:modified>
</cp:coreProperties>
</file>