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1356E" w:rsidRPr="00B32DD3" w:rsidRDefault="00CA60FA" w:rsidP="00B32DD3">
      <w:pPr>
        <w:jc w:val="center"/>
        <w:rPr>
          <w:b/>
          <w:sz w:val="28"/>
        </w:rPr>
      </w:pPr>
      <w:r w:rsidRPr="00B32DD3">
        <w:rPr>
          <w:b/>
          <w:sz w:val="28"/>
        </w:rPr>
        <w:t>R</w:t>
      </w:r>
      <w:r w:rsidR="00B32DD3" w:rsidRPr="00B32DD3">
        <w:rPr>
          <w:b/>
          <w:sz w:val="28"/>
        </w:rPr>
        <w:t>isk Management Development Plan</w:t>
      </w:r>
    </w:p>
    <w:p w:rsidR="00B32DD3" w:rsidRPr="00B32DD3" w:rsidRDefault="00B32DD3">
      <w:pPr>
        <w:rPr>
          <w:sz w:val="24"/>
        </w:rPr>
      </w:pPr>
    </w:p>
    <w:p w:rsidR="00B32DD3" w:rsidRPr="00B32DD3" w:rsidRDefault="00B32DD3">
      <w:pPr>
        <w:rPr>
          <w:b/>
          <w:sz w:val="24"/>
        </w:rPr>
      </w:pPr>
      <w:r w:rsidRPr="00B32DD3">
        <w:rPr>
          <w:b/>
          <w:sz w:val="24"/>
        </w:rPr>
        <w:t xml:space="preserve">Appendix A – ISO31000 Gap Analysis </w:t>
      </w:r>
    </w:p>
    <w:p w:rsidR="00B32DD3" w:rsidRDefault="00B32DD3"/>
    <w:p w:rsidR="00484BB8" w:rsidRDefault="00484BB8" w:rsidP="00484BB8">
      <w:pPr>
        <w:pStyle w:val="Heading1"/>
        <w:numPr>
          <w:ilvl w:val="0"/>
          <w:numId w:val="1"/>
        </w:numPr>
        <w:spacing w:before="0"/>
      </w:pPr>
      <w:bookmarkStart w:id="0" w:name="_Toc86053489"/>
      <w:r>
        <w:t>The International Standard for Risk Management</w:t>
      </w:r>
      <w:bookmarkEnd w:id="0"/>
    </w:p>
    <w:p w:rsidR="00484BB8" w:rsidRDefault="00484BB8" w:rsidP="00484BB8"/>
    <w:p w:rsidR="00484BB8" w:rsidRPr="00AF6536" w:rsidRDefault="00484BB8" w:rsidP="00484BB8">
      <w:pPr>
        <w:autoSpaceDE w:val="0"/>
        <w:autoSpaceDN w:val="0"/>
        <w:adjustRightInd w:val="0"/>
      </w:pPr>
      <w:r w:rsidRPr="00AF6536">
        <w:t>Risk is a necessary part of doing business,</w:t>
      </w:r>
      <w:r>
        <w:t xml:space="preserve"> </w:t>
      </w:r>
      <w:r w:rsidRPr="00AF6536">
        <w:t>and in a world where enormous</w:t>
      </w:r>
      <w:r>
        <w:t xml:space="preserve"> </w:t>
      </w:r>
      <w:r w:rsidRPr="00AF6536">
        <w:t>amounts of data are being processed</w:t>
      </w:r>
      <w:r>
        <w:t xml:space="preserve"> </w:t>
      </w:r>
      <w:r w:rsidRPr="00AF6536">
        <w:t>at increasingly rapid rates, identifying</w:t>
      </w:r>
      <w:r>
        <w:t xml:space="preserve"> </w:t>
      </w:r>
      <w:r w:rsidRPr="00AF6536">
        <w:t>and mitigating risks is a challenge for</w:t>
      </w:r>
      <w:r>
        <w:t xml:space="preserve"> </w:t>
      </w:r>
      <w:r w:rsidRPr="00AF6536">
        <w:t>any company. It is no wonder then that</w:t>
      </w:r>
      <w:r>
        <w:t xml:space="preserve"> </w:t>
      </w:r>
      <w:r w:rsidRPr="00AF6536">
        <w:t>many contracts and insurance agreements</w:t>
      </w:r>
      <w:r>
        <w:t xml:space="preserve"> </w:t>
      </w:r>
      <w:r w:rsidRPr="00AF6536">
        <w:t>require solid evidence of good</w:t>
      </w:r>
      <w:r>
        <w:t xml:space="preserve"> </w:t>
      </w:r>
      <w:r w:rsidRPr="00AF6536">
        <w:t>risk management practice.</w:t>
      </w:r>
    </w:p>
    <w:p w:rsidR="00484BB8" w:rsidRDefault="00484BB8" w:rsidP="00484BB8">
      <w:pPr>
        <w:autoSpaceDE w:val="0"/>
        <w:autoSpaceDN w:val="0"/>
        <w:adjustRightInd w:val="0"/>
      </w:pPr>
    </w:p>
    <w:p w:rsidR="00484BB8" w:rsidRPr="00AF6536" w:rsidRDefault="00484BB8" w:rsidP="00484BB8">
      <w:pPr>
        <w:autoSpaceDE w:val="0"/>
        <w:autoSpaceDN w:val="0"/>
        <w:adjustRightInd w:val="0"/>
      </w:pPr>
      <w:r w:rsidRPr="00AF6536">
        <w:t>ISO 31000 provides direction on how</w:t>
      </w:r>
      <w:r>
        <w:t xml:space="preserve"> </w:t>
      </w:r>
      <w:r w:rsidRPr="00AF6536">
        <w:t>companies can integrate risk-based</w:t>
      </w:r>
    </w:p>
    <w:p w:rsidR="00484BB8" w:rsidRPr="00AF6536" w:rsidRDefault="00484BB8" w:rsidP="00484BB8">
      <w:pPr>
        <w:autoSpaceDE w:val="0"/>
        <w:autoSpaceDN w:val="0"/>
        <w:adjustRightInd w:val="0"/>
      </w:pPr>
      <w:r w:rsidRPr="00AF6536">
        <w:t>decision making into an organization’s</w:t>
      </w:r>
      <w:r>
        <w:t xml:space="preserve"> governance, planning, </w:t>
      </w:r>
      <w:r w:rsidRPr="00AF6536">
        <w:t>management,</w:t>
      </w:r>
      <w:r>
        <w:t xml:space="preserve"> </w:t>
      </w:r>
      <w:r w:rsidRPr="00AF6536">
        <w:t>reporting, policies, values and culture.</w:t>
      </w:r>
      <w:r>
        <w:t xml:space="preserve"> </w:t>
      </w:r>
      <w:r w:rsidRPr="00AF6536">
        <w:t>It is an open, principles-based system,</w:t>
      </w:r>
      <w:r>
        <w:t xml:space="preserve"> </w:t>
      </w:r>
      <w:r w:rsidRPr="00AF6536">
        <w:t>meaning it enables organizations to</w:t>
      </w:r>
    </w:p>
    <w:p w:rsidR="00484BB8" w:rsidRDefault="00484BB8" w:rsidP="00484BB8">
      <w:pPr>
        <w:autoSpaceDE w:val="0"/>
        <w:autoSpaceDN w:val="0"/>
        <w:adjustRightInd w:val="0"/>
      </w:pPr>
      <w:r w:rsidRPr="00AF6536">
        <w:t>apply the principles in the standard to</w:t>
      </w:r>
      <w:r>
        <w:t xml:space="preserve"> </w:t>
      </w:r>
      <w:r w:rsidRPr="00AF6536">
        <w:t>the organizational context.</w:t>
      </w:r>
    </w:p>
    <w:p w:rsidR="00484BB8" w:rsidRDefault="00484BB8" w:rsidP="00484BB8">
      <w:pPr>
        <w:autoSpaceDE w:val="0"/>
        <w:autoSpaceDN w:val="0"/>
        <w:adjustRightInd w:val="0"/>
      </w:pPr>
    </w:p>
    <w:p w:rsidR="00484BB8" w:rsidRDefault="00484BB8" w:rsidP="00484BB8">
      <w:pPr>
        <w:autoSpaceDE w:val="0"/>
        <w:autoSpaceDN w:val="0"/>
        <w:adjustRightInd w:val="0"/>
        <w:rPr>
          <w:i/>
        </w:rPr>
      </w:pPr>
      <w:r w:rsidRPr="00AF6536">
        <w:rPr>
          <w:i/>
        </w:rPr>
        <w:t xml:space="preserve">(ISO 31000, International Organisation for Standardisation, 2018) </w:t>
      </w:r>
    </w:p>
    <w:p w:rsidR="00484BB8" w:rsidRDefault="00484BB8" w:rsidP="00484BB8">
      <w:pPr>
        <w:autoSpaceDE w:val="0"/>
        <w:autoSpaceDN w:val="0"/>
        <w:adjustRightInd w:val="0"/>
        <w:rPr>
          <w:i/>
        </w:rPr>
      </w:pPr>
    </w:p>
    <w:p w:rsidR="00484BB8" w:rsidRDefault="00484BB8" w:rsidP="00484BB8">
      <w:pPr>
        <w:autoSpaceDE w:val="0"/>
        <w:autoSpaceDN w:val="0"/>
        <w:adjustRightInd w:val="0"/>
      </w:pPr>
      <w:r>
        <w:t xml:space="preserve">It is important to note that the standard is a set of guidelines and not requirements. This means that it is intended to enable organisations to develop fit for purposes risk management systems, but it is not a standard that can be used for certification purposes. </w:t>
      </w:r>
    </w:p>
    <w:p w:rsidR="00484BB8" w:rsidRDefault="00484BB8" w:rsidP="00484BB8">
      <w:pPr>
        <w:autoSpaceDE w:val="0"/>
        <w:autoSpaceDN w:val="0"/>
        <w:adjustRightInd w:val="0"/>
      </w:pPr>
    </w:p>
    <w:p w:rsidR="00484BB8" w:rsidRDefault="00484BB8" w:rsidP="00484BB8">
      <w:pPr>
        <w:rPr>
          <w:i/>
        </w:rPr>
      </w:pPr>
      <w:r>
        <w:rPr>
          <w:i/>
        </w:rPr>
        <w:t>Review of the Risk Maturity Matrix</w:t>
      </w:r>
    </w:p>
    <w:p w:rsidR="00484BB8" w:rsidRDefault="00484BB8" w:rsidP="00484BB8">
      <w:pPr>
        <w:rPr>
          <w:i/>
        </w:rPr>
      </w:pPr>
    </w:p>
    <w:p w:rsidR="00484BB8" w:rsidRPr="00484BB8" w:rsidRDefault="00484BB8" w:rsidP="00484BB8">
      <w:pPr>
        <w:spacing w:after="160" w:line="259" w:lineRule="auto"/>
        <w:rPr>
          <w:rFonts w:cstheme="minorHAnsi"/>
        </w:rPr>
      </w:pPr>
      <w:r>
        <w:t xml:space="preserve">The Risk Maturity Matrix was established and approved by the Business Executive Team in 2018 as a tool for assessing the progress of the organisation towards compliance with the standards set out in ISO31000. The matrix is in two parts. One part is geared towards Directorates and the way in which they </w:t>
      </w:r>
      <w:r w:rsidRPr="00484BB8">
        <w:rPr>
          <w:rFonts w:cstheme="minorHAnsi"/>
        </w:rPr>
        <w:t xml:space="preserve">manage operational risks. The first part however is an overall assessment of the organisational Risk Management System against the standard, which sets out 28 requirements grouped under 7 broad areas: </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Risk Architecture</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Risk Strategy</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Risk Protocols</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Planning and Design</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Implementing and Benchmarking</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Measuring and Monitoring</w:t>
      </w:r>
    </w:p>
    <w:p w:rsidR="00484BB8" w:rsidRPr="00484BB8" w:rsidRDefault="00484BB8" w:rsidP="00484BB8">
      <w:pPr>
        <w:pStyle w:val="ListParagraph"/>
        <w:numPr>
          <w:ilvl w:val="0"/>
          <w:numId w:val="4"/>
        </w:numPr>
        <w:spacing w:after="160" w:line="259" w:lineRule="auto"/>
        <w:rPr>
          <w:rFonts w:asciiTheme="minorHAnsi" w:hAnsiTheme="minorHAnsi" w:cstheme="minorHAnsi"/>
          <w:sz w:val="22"/>
        </w:rPr>
      </w:pPr>
      <w:r w:rsidRPr="00484BB8">
        <w:rPr>
          <w:rFonts w:asciiTheme="minorHAnsi" w:hAnsiTheme="minorHAnsi" w:cstheme="minorHAnsi"/>
          <w:sz w:val="22"/>
        </w:rPr>
        <w:t>Learning and Reporting</w:t>
      </w:r>
    </w:p>
    <w:p w:rsidR="00484BB8" w:rsidRDefault="00484BB8"/>
    <w:tbl>
      <w:tblPr>
        <w:tblW w:w="13948" w:type="dxa"/>
        <w:tblLook w:val="04A0" w:firstRow="1" w:lastRow="0" w:firstColumn="1" w:lastColumn="0" w:noHBand="0" w:noVBand="1"/>
      </w:tblPr>
      <w:tblGrid>
        <w:gridCol w:w="328"/>
        <w:gridCol w:w="6001"/>
        <w:gridCol w:w="3748"/>
        <w:gridCol w:w="3871"/>
      </w:tblGrid>
      <w:tr w:rsidR="00B32DD3" w:rsidRPr="00EB56C5" w:rsidTr="00977EF0">
        <w:trPr>
          <w:trHeight w:val="331"/>
        </w:trPr>
        <w:tc>
          <w:tcPr>
            <w:tcW w:w="27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602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Risk Architecture</w:t>
            </w:r>
          </w:p>
        </w:tc>
        <w:tc>
          <w:tcPr>
            <w:tcW w:w="376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8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27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602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6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8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279"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1</w:t>
            </w:r>
          </w:p>
        </w:tc>
        <w:tc>
          <w:tcPr>
            <w:tcW w:w="6026" w:type="dxa"/>
            <w:tcBorders>
              <w:top w:val="single" w:sz="4" w:space="0" w:color="auto"/>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sidRPr="00EB56C5">
              <w:rPr>
                <w:rFonts w:ascii="Calibri" w:eastAsia="Times New Roman" w:hAnsi="Calibri" w:cs="Calibri"/>
                <w:color w:val="000000"/>
                <w:szCs w:val="24"/>
                <w:lang w:eastAsia="en-GB"/>
              </w:rPr>
              <w:t xml:space="preserve">Statement produced that sets out risk responsibilities and lists the risk-based matters reserved for the Board. </w:t>
            </w:r>
          </w:p>
        </w:tc>
        <w:tc>
          <w:tcPr>
            <w:tcW w:w="3761"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This is dealt with in the Organisational Standing Orders and the Scheme of Delegation</w:t>
            </w:r>
          </w:p>
        </w:tc>
        <w:tc>
          <w:tcPr>
            <w:tcW w:w="3882"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None.</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w:t>
            </w:r>
          </w:p>
        </w:tc>
        <w:tc>
          <w:tcPr>
            <w:tcW w:w="6026"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sidRPr="00EB56C5">
              <w:rPr>
                <w:rFonts w:ascii="Calibri" w:eastAsia="Times New Roman" w:hAnsi="Calibri" w:cs="Calibri"/>
                <w:color w:val="000000"/>
                <w:szCs w:val="24"/>
                <w:lang w:eastAsia="en-GB"/>
              </w:rPr>
              <w:t>Risk management responsibilities allocated to an appropriate management committee.</w:t>
            </w:r>
          </w:p>
        </w:tc>
        <w:tc>
          <w:tcPr>
            <w:tcW w:w="3761"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Whilst the Corporate risks are dealt with by the Executive Team, there are gaps in the allocation of organisation wide risks, such as Business Continuity and Programme and Project and the role of the Senior Leadership Team in Risk Management is unclear.</w:t>
            </w:r>
          </w:p>
        </w:tc>
        <w:tc>
          <w:tcPr>
            <w:tcW w:w="3882"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Review the current model of organisation wide risk management.</w:t>
            </w:r>
          </w:p>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Review the role of the Senior Leadership Team and make recommendations for improvement.</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3</w:t>
            </w:r>
          </w:p>
        </w:tc>
        <w:tc>
          <w:tcPr>
            <w:tcW w:w="6026"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sidRPr="00EB56C5">
              <w:rPr>
                <w:rFonts w:ascii="Calibri" w:eastAsia="Times New Roman" w:hAnsi="Calibri" w:cs="Calibri"/>
                <w:color w:val="000000"/>
                <w:szCs w:val="24"/>
                <w:lang w:eastAsia="en-GB"/>
              </w:rPr>
              <w:t>Arrangements are in place to ensure the availability of appropriate competent advice on risks and controls.</w:t>
            </w:r>
          </w:p>
        </w:tc>
        <w:tc>
          <w:tcPr>
            <w:tcW w:w="3761"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Whilst expert advice is available centrally, there is a lack of expertise and knowledge across the wider organisation to support the system.</w:t>
            </w:r>
          </w:p>
        </w:tc>
        <w:tc>
          <w:tcPr>
            <w:tcW w:w="3882"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a network of Risk and Governance Champions.</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4</w:t>
            </w:r>
          </w:p>
        </w:tc>
        <w:tc>
          <w:tcPr>
            <w:tcW w:w="6026"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sidRPr="00EB56C5">
              <w:rPr>
                <w:rFonts w:ascii="Calibri" w:eastAsia="Times New Roman" w:hAnsi="Calibri" w:cs="Calibri"/>
                <w:color w:val="000000"/>
                <w:szCs w:val="24"/>
                <w:lang w:eastAsia="en-GB"/>
              </w:rPr>
              <w:t>Risk aware culture exists within the organisation and actions are in hand to enhance the level of risk maturity.</w:t>
            </w:r>
          </w:p>
        </w:tc>
        <w:tc>
          <w:tcPr>
            <w:tcW w:w="3761"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There is a culture of risk awareness across the organisation and this plan is evidence of the appetite to enhance the level of maturity.</w:t>
            </w:r>
          </w:p>
        </w:tc>
        <w:tc>
          <w:tcPr>
            <w:tcW w:w="3882"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None.</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5</w:t>
            </w:r>
          </w:p>
        </w:tc>
        <w:tc>
          <w:tcPr>
            <w:tcW w:w="6026"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sidRPr="00EB56C5">
              <w:rPr>
                <w:rFonts w:ascii="Calibri" w:eastAsia="Times New Roman" w:hAnsi="Calibri" w:cs="Calibri"/>
                <w:color w:val="000000"/>
                <w:szCs w:val="24"/>
                <w:lang w:eastAsia="en-GB"/>
              </w:rPr>
              <w:t>Sources of risk assurance for the Board have been identified and validated.</w:t>
            </w:r>
          </w:p>
        </w:tc>
        <w:tc>
          <w:tcPr>
            <w:tcW w:w="3761"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Whilst much work has been done to identify the sources of assurance, limited work has been done to validate those sources.</w:t>
            </w:r>
          </w:p>
        </w:tc>
        <w:tc>
          <w:tcPr>
            <w:tcW w:w="3882"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Develop a comprehensive library of assurances with clear ownership of each and a consistent method for establishing their effectiveness.</w:t>
            </w:r>
          </w:p>
        </w:tc>
      </w:tr>
    </w:tbl>
    <w:p w:rsidR="00B32DD3" w:rsidRDefault="00B32DD3" w:rsidP="00B32DD3"/>
    <w:p w:rsidR="00B32DD3" w:rsidRDefault="00B32DD3" w:rsidP="00B32DD3"/>
    <w:p w:rsidR="00B32DD3" w:rsidRDefault="00B32DD3" w:rsidP="00B32DD3"/>
    <w:tbl>
      <w:tblPr>
        <w:tblW w:w="13948" w:type="dxa"/>
        <w:tblLook w:val="04A0" w:firstRow="1" w:lastRow="0" w:firstColumn="1" w:lastColumn="0" w:noHBand="0" w:noVBand="1"/>
      </w:tblPr>
      <w:tblGrid>
        <w:gridCol w:w="440"/>
        <w:gridCol w:w="5996"/>
        <w:gridCol w:w="3723"/>
        <w:gridCol w:w="3789"/>
      </w:tblGrid>
      <w:tr w:rsidR="00B32DD3" w:rsidRPr="00EB56C5" w:rsidTr="00977EF0">
        <w:trPr>
          <w:trHeight w:val="331"/>
        </w:trPr>
        <w:tc>
          <w:tcPr>
            <w:tcW w:w="27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607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Risk Strategy</w:t>
            </w:r>
          </w:p>
        </w:tc>
        <w:tc>
          <w:tcPr>
            <w:tcW w:w="376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2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27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607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6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2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279"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6</w:t>
            </w:r>
          </w:p>
        </w:tc>
        <w:tc>
          <w:tcPr>
            <w:tcW w:w="6077" w:type="dxa"/>
            <w:tcBorders>
              <w:top w:val="single" w:sz="4" w:space="0" w:color="auto"/>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Risk management policy produced that describes risk appetite, risk culture and philosophy </w:t>
            </w:r>
          </w:p>
        </w:tc>
        <w:tc>
          <w:tcPr>
            <w:tcW w:w="3764"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Policy in place but does not define the risk culture or philosophy of the organisation</w:t>
            </w:r>
          </w:p>
        </w:tc>
        <w:tc>
          <w:tcPr>
            <w:tcW w:w="3828"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Review the Risk Management Policy</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7</w:t>
            </w:r>
          </w:p>
        </w:tc>
        <w:tc>
          <w:tcPr>
            <w:tcW w:w="6077"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Key dependencies for success identified, together with the matters that should be avoided </w:t>
            </w:r>
          </w:p>
        </w:tc>
        <w:tc>
          <w:tcPr>
            <w:tcW w:w="376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 success indicators are in place for risk management</w:t>
            </w:r>
          </w:p>
        </w:tc>
        <w:tc>
          <w:tcPr>
            <w:tcW w:w="3828"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8</w:t>
            </w:r>
          </w:p>
        </w:tc>
        <w:tc>
          <w:tcPr>
            <w:tcW w:w="6077"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Business objectives validated and the assumptions underpinning those objectives tested </w:t>
            </w:r>
          </w:p>
        </w:tc>
        <w:tc>
          <w:tcPr>
            <w:tcW w:w="376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p>
        </w:tc>
        <w:tc>
          <w:tcPr>
            <w:tcW w:w="382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9</w:t>
            </w:r>
          </w:p>
        </w:tc>
        <w:tc>
          <w:tcPr>
            <w:tcW w:w="6077"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Significant risks faced by the organisation identified, together with the critical controls required </w:t>
            </w:r>
          </w:p>
        </w:tc>
        <w:tc>
          <w:tcPr>
            <w:tcW w:w="376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Whilst much work has been done to identify controls, limited work has been done to validate them or to identify those that are critical.</w:t>
            </w:r>
          </w:p>
        </w:tc>
        <w:tc>
          <w:tcPr>
            <w:tcW w:w="3828"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Develop a comprehensive library of controls with clear ownership of each, an understanding of their criticality and a consistent method for establishing their effectiveness.</w:t>
            </w:r>
          </w:p>
        </w:tc>
      </w:tr>
      <w:tr w:rsidR="00B32DD3" w:rsidRPr="00EB56C5" w:rsidTr="00977EF0">
        <w:trPr>
          <w:trHeight w:val="703"/>
        </w:trPr>
        <w:tc>
          <w:tcPr>
            <w:tcW w:w="279"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10</w:t>
            </w:r>
          </w:p>
        </w:tc>
        <w:tc>
          <w:tcPr>
            <w:tcW w:w="6077"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Risk management action plan established that includes the use of key risk indicators, as appropriate </w:t>
            </w:r>
          </w:p>
        </w:tc>
        <w:tc>
          <w:tcPr>
            <w:tcW w:w="376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Key risk indicators are not always linked to the key risks and the risk action plans</w:t>
            </w:r>
          </w:p>
        </w:tc>
        <w:tc>
          <w:tcPr>
            <w:tcW w:w="3828"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Review the use of key risk indicators across the organisation.</w:t>
            </w:r>
          </w:p>
        </w:tc>
      </w:tr>
    </w:tbl>
    <w:p w:rsidR="00B32DD3" w:rsidRDefault="00B32DD3" w:rsidP="00B32DD3"/>
    <w:tbl>
      <w:tblPr>
        <w:tblW w:w="13948" w:type="dxa"/>
        <w:tblLook w:val="04A0" w:firstRow="1" w:lastRow="0" w:firstColumn="1" w:lastColumn="0" w:noHBand="0" w:noVBand="1"/>
      </w:tblPr>
      <w:tblGrid>
        <w:gridCol w:w="586"/>
        <w:gridCol w:w="5930"/>
        <w:gridCol w:w="3544"/>
        <w:gridCol w:w="3888"/>
      </w:tblGrid>
      <w:tr w:rsidR="00B32DD3" w:rsidRPr="00EB56C5" w:rsidTr="00977EF0">
        <w:trPr>
          <w:trHeight w:val="331"/>
        </w:trPr>
        <w:tc>
          <w:tcPr>
            <w:tcW w:w="58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593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Risk Protocols</w:t>
            </w:r>
          </w:p>
        </w:tc>
        <w:tc>
          <w:tcPr>
            <w:tcW w:w="354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8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58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593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54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8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586"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11</w:t>
            </w:r>
          </w:p>
        </w:tc>
        <w:tc>
          <w:tcPr>
            <w:tcW w:w="5930" w:type="dxa"/>
            <w:tcBorders>
              <w:top w:val="single" w:sz="4" w:space="0" w:color="auto"/>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Appropriate risk management framework identified and adopted, with modifications as appropriate</w:t>
            </w:r>
          </w:p>
        </w:tc>
        <w:tc>
          <w:tcPr>
            <w:tcW w:w="3544"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 framework for risk management across the organisation is in place</w:t>
            </w:r>
          </w:p>
        </w:tc>
        <w:tc>
          <w:tcPr>
            <w:tcW w:w="3888"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None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12</w:t>
            </w:r>
          </w:p>
        </w:tc>
        <w:tc>
          <w:tcPr>
            <w:tcW w:w="5930"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Suitable and sufficient risk assessments completed and the results recorded in an appropriate manner </w:t>
            </w:r>
          </w:p>
        </w:tc>
        <w:tc>
          <w:tcPr>
            <w:tcW w:w="354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Risk assessments are carried out across the organisation although the quality and completeness of the assessments is sometimes questionable</w:t>
            </w:r>
          </w:p>
        </w:tc>
        <w:tc>
          <w:tcPr>
            <w:tcW w:w="3888"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This will be addressed in the review and redesign of the Datix risk module and in the training needs analysis.</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13</w:t>
            </w:r>
          </w:p>
        </w:tc>
        <w:tc>
          <w:tcPr>
            <w:tcW w:w="5930"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Procedures to include risk as part of business decision-making established and implemented </w:t>
            </w:r>
          </w:p>
        </w:tc>
        <w:tc>
          <w:tcPr>
            <w:tcW w:w="354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It is widely agreed that risk is considered in decision making but no process exists to enable the organisation to demonstrate it</w:t>
            </w:r>
          </w:p>
        </w:tc>
        <w:tc>
          <w:tcPr>
            <w:tcW w:w="3888"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Board development event. Training for the Board and Executive on risk appetite and risk decision making. Establish process and training for Directorate level.</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14</w:t>
            </w:r>
          </w:p>
        </w:tc>
        <w:tc>
          <w:tcPr>
            <w:tcW w:w="5930"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Details of required risk responses recorded, together with arrangements to track risk improvement recommendations </w:t>
            </w:r>
          </w:p>
        </w:tc>
        <w:tc>
          <w:tcPr>
            <w:tcW w:w="3544"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Risk decisions are part of the standard risk reporting template in Datix and there is a requirement to have action plans in place for all risks other than those with a decision of tolerate.</w:t>
            </w:r>
          </w:p>
        </w:tc>
        <w:tc>
          <w:tcPr>
            <w:tcW w:w="388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 use of Datix to be evaluated and consideration to be given to other options for platforms that might better support the system. Full QA review to be conducted on all risks.</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15</w:t>
            </w:r>
          </w:p>
        </w:tc>
        <w:tc>
          <w:tcPr>
            <w:tcW w:w="5930" w:type="dxa"/>
            <w:tcBorders>
              <w:top w:val="nil"/>
              <w:left w:val="single" w:sz="4"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 xml:space="preserve">Incident reporting procedures established to facilitate identification of risk trends, together with risk escalation procedures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Beth?</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16</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Calibri" w:hAnsi="Calibri" w:cs="Calibri"/>
                <w:color w:val="000000"/>
              </w:rPr>
              <w:t xml:space="preserve">Business continuity plans and disaster recovery plans established and regularly tested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Business Continuity is not well understood or embedded across the organisation and at present plans are not effectively tested</w:t>
            </w:r>
          </w:p>
        </w:tc>
        <w:tc>
          <w:tcPr>
            <w:tcW w:w="3888" w:type="dxa"/>
            <w:tcBorders>
              <w:top w:val="nil"/>
              <w:left w:val="single" w:sz="4" w:space="0" w:color="auto"/>
              <w:bottom w:val="nil"/>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17</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Calibri" w:hAnsi="Calibri" w:cs="Calibri"/>
                <w:color w:val="000000"/>
              </w:rPr>
              <w:t xml:space="preserve">Arrangements in place to audit the efficiency and effectiveness of the controls in place for significant risks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 assessment of the effectiveness of controls exists at the moment</w:t>
            </w:r>
          </w:p>
        </w:tc>
        <w:tc>
          <w:tcPr>
            <w:tcW w:w="3888" w:type="dxa"/>
            <w:tcBorders>
              <w:top w:val="nil"/>
              <w:left w:val="single" w:sz="4" w:space="0" w:color="auto"/>
              <w:bottom w:val="nil"/>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library of controls</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Calibri" w:hAnsi="Calibri" w:cs="Calibri"/>
                <w:color w:val="000000"/>
              </w:rPr>
            </w:pPr>
            <w:r>
              <w:rPr>
                <w:rFonts w:ascii="Calibri" w:hAnsi="Calibri" w:cs="Calibri"/>
                <w:color w:val="000000"/>
              </w:rPr>
              <w:t>18</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Calibri" w:hAnsi="Calibri" w:cs="Calibri"/>
                <w:color w:val="000000"/>
              </w:rPr>
              <w:t xml:space="preserve">Arrangements in place for mandatory reporting on risk, including reports on at least the following: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There is no current reporting on the risk management system, beyond those provided by internal audit.</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performance management for the risk management system</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Default="00B32DD3" w:rsidP="00977EF0">
            <w:pPr>
              <w:rPr>
                <w:rFonts w:ascii="Symbol" w:hAnsi="Symbol" w:cs="Calibri"/>
                <w:color w:val="000000"/>
              </w:rPr>
            </w:pPr>
            <w:r>
              <w:rPr>
                <w:rFonts w:cstheme="minorHAnsi"/>
                <w:color w:val="000000"/>
              </w:rPr>
              <w:t>18a</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Risk appetite, tolerance and constraints</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Pr="0040660C" w:rsidRDefault="00B32DD3" w:rsidP="00977EF0">
            <w:pPr>
              <w:rPr>
                <w:rFonts w:cstheme="minorHAnsi"/>
                <w:color w:val="000000"/>
              </w:rPr>
            </w:pPr>
            <w:r>
              <w:rPr>
                <w:rFonts w:cstheme="minorHAnsi"/>
                <w:color w:val="000000"/>
              </w:rPr>
              <w:t>18b</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Risk architecture and risk escalation procedures</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Pr="0040660C" w:rsidRDefault="00B32DD3" w:rsidP="00977EF0">
            <w:pPr>
              <w:rPr>
                <w:rFonts w:cstheme="minorHAnsi"/>
                <w:color w:val="000000"/>
              </w:rPr>
            </w:pPr>
            <w:r>
              <w:rPr>
                <w:rFonts w:cstheme="minorHAnsi"/>
                <w:color w:val="000000"/>
              </w:rPr>
              <w:t>18c</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 xml:space="preserve">Risk aware culture currently in place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Pr="0040660C" w:rsidRDefault="00B32DD3" w:rsidP="00977EF0">
            <w:pPr>
              <w:rPr>
                <w:rFonts w:cstheme="minorHAnsi"/>
                <w:color w:val="000000"/>
              </w:rPr>
            </w:pPr>
            <w:r>
              <w:rPr>
                <w:rFonts w:cstheme="minorHAnsi"/>
                <w:color w:val="000000"/>
              </w:rPr>
              <w:t>18d</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Risk assessment arrangements and protocols</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Pr="0040660C" w:rsidRDefault="00B32DD3" w:rsidP="00977EF0">
            <w:pPr>
              <w:rPr>
                <w:rFonts w:cstheme="minorHAnsi"/>
                <w:color w:val="000000"/>
              </w:rPr>
            </w:pPr>
            <w:r>
              <w:rPr>
                <w:rFonts w:cstheme="minorHAnsi"/>
                <w:color w:val="000000"/>
              </w:rPr>
              <w:t>18e</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Significant risks and key risk indicators</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single" w:sz="4" w:space="0" w:color="auto"/>
              <w:right w:val="single" w:sz="4" w:space="0" w:color="auto"/>
            </w:tcBorders>
          </w:tcPr>
          <w:p w:rsidR="00B32DD3" w:rsidRPr="0040660C" w:rsidRDefault="00B32DD3" w:rsidP="00977EF0">
            <w:pPr>
              <w:rPr>
                <w:rFonts w:cstheme="minorHAnsi"/>
                <w:color w:val="000000"/>
              </w:rPr>
            </w:pPr>
            <w:r>
              <w:rPr>
                <w:rFonts w:cstheme="minorHAnsi"/>
                <w:color w:val="000000"/>
              </w:rPr>
              <w:t>18f</w:t>
            </w:r>
          </w:p>
        </w:tc>
        <w:tc>
          <w:tcPr>
            <w:tcW w:w="5930" w:type="dxa"/>
            <w:tcBorders>
              <w:top w:val="nil"/>
              <w:left w:val="single" w:sz="4" w:space="0" w:color="auto"/>
              <w:bottom w:val="single" w:sz="4" w:space="0" w:color="auto"/>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Critical controls and control weaknesses</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r w:rsidR="00B32DD3" w:rsidRPr="00EB56C5" w:rsidTr="00977EF0">
        <w:trPr>
          <w:trHeight w:val="703"/>
        </w:trPr>
        <w:tc>
          <w:tcPr>
            <w:tcW w:w="586" w:type="dxa"/>
            <w:tcBorders>
              <w:top w:val="nil"/>
              <w:left w:val="single" w:sz="4" w:space="0" w:color="auto"/>
              <w:bottom w:val="nil"/>
              <w:right w:val="single" w:sz="4" w:space="0" w:color="auto"/>
            </w:tcBorders>
          </w:tcPr>
          <w:p w:rsidR="00B32DD3" w:rsidRPr="0040660C" w:rsidRDefault="00B32DD3" w:rsidP="00977EF0">
            <w:pPr>
              <w:rPr>
                <w:rFonts w:cstheme="minorHAnsi"/>
                <w:color w:val="000000"/>
              </w:rPr>
            </w:pPr>
            <w:r>
              <w:rPr>
                <w:rFonts w:cstheme="minorHAnsi"/>
                <w:color w:val="000000"/>
              </w:rPr>
              <w:t>18g</w:t>
            </w:r>
          </w:p>
        </w:tc>
        <w:tc>
          <w:tcPr>
            <w:tcW w:w="5930" w:type="dxa"/>
            <w:tcBorders>
              <w:top w:val="nil"/>
              <w:left w:val="single" w:sz="4" w:space="0" w:color="auto"/>
              <w:bottom w:val="nil"/>
              <w:right w:val="single" w:sz="4" w:space="0" w:color="auto"/>
            </w:tcBorders>
            <w:shd w:val="clear" w:color="auto" w:fill="auto"/>
          </w:tcPr>
          <w:p w:rsidR="00B32DD3" w:rsidRDefault="00B32DD3" w:rsidP="00977EF0">
            <w:pPr>
              <w:rPr>
                <w:rFonts w:ascii="Calibri" w:hAnsi="Calibri" w:cs="Calibri"/>
                <w:color w:val="000000"/>
              </w:rPr>
            </w:pPr>
            <w:r>
              <w:rPr>
                <w:rFonts w:ascii="Symbol" w:hAnsi="Symbol" w:cs="Calibri"/>
                <w:color w:val="000000"/>
              </w:rPr>
              <w:t></w:t>
            </w:r>
            <w:r>
              <w:rPr>
                <w:color w:val="000000"/>
                <w:sz w:val="14"/>
                <w:szCs w:val="14"/>
              </w:rPr>
              <w:t xml:space="preserve">         </w:t>
            </w:r>
            <w:r>
              <w:rPr>
                <w:rFonts w:ascii="Calibri" w:hAnsi="Calibri" w:cs="Calibri"/>
                <w:color w:val="000000"/>
              </w:rPr>
              <w:t xml:space="preserve">Sources of assurance available to the Board </w:t>
            </w:r>
          </w:p>
        </w:tc>
        <w:tc>
          <w:tcPr>
            <w:tcW w:w="3544"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c>
          <w:tcPr>
            <w:tcW w:w="3888" w:type="dxa"/>
            <w:tcBorders>
              <w:top w:val="nil"/>
              <w:left w:val="single" w:sz="4" w:space="0" w:color="auto"/>
              <w:bottom w:val="nil"/>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See above</w:t>
            </w:r>
          </w:p>
        </w:tc>
      </w:tr>
    </w:tbl>
    <w:p w:rsidR="00B32DD3" w:rsidRDefault="00B32DD3" w:rsidP="00B32DD3"/>
    <w:tbl>
      <w:tblPr>
        <w:tblW w:w="13948" w:type="dxa"/>
        <w:tblLook w:val="04A0" w:firstRow="1" w:lastRow="0" w:firstColumn="1" w:lastColumn="0" w:noHBand="0" w:noVBand="1"/>
      </w:tblPr>
      <w:tblGrid>
        <w:gridCol w:w="440"/>
        <w:gridCol w:w="5945"/>
        <w:gridCol w:w="3721"/>
        <w:gridCol w:w="3842"/>
      </w:tblGrid>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Planning and Designing</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338"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19</w:t>
            </w:r>
          </w:p>
        </w:tc>
        <w:tc>
          <w:tcPr>
            <w:tcW w:w="5995" w:type="dxa"/>
            <w:tcBorders>
              <w:top w:val="single" w:sz="4" w:space="0" w:color="auto"/>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Identify intended benefits of the RMS and gain Board mandate</w:t>
            </w:r>
          </w:p>
        </w:tc>
        <w:tc>
          <w:tcPr>
            <w:tcW w:w="3746"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 Board and the Executive team are fully committed to the maintenance of a robust Risk Management System</w:t>
            </w:r>
          </w:p>
        </w:tc>
        <w:tc>
          <w:tcPr>
            <w:tcW w:w="3869"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Ongoing work to support the Board through Board development sessions</w:t>
            </w:r>
          </w:p>
        </w:tc>
      </w:tr>
      <w:tr w:rsidR="00B32DD3" w:rsidRPr="00EB56C5" w:rsidTr="00977EF0">
        <w:trPr>
          <w:trHeight w:val="703"/>
        </w:trPr>
        <w:tc>
          <w:tcPr>
            <w:tcW w:w="33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20</w:t>
            </w:r>
          </w:p>
        </w:tc>
        <w:tc>
          <w:tcPr>
            <w:tcW w:w="5995" w:type="dxa"/>
            <w:tcBorders>
              <w:top w:val="nil"/>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Plan the scope of the RMS and develop a common language of risk</w:t>
            </w:r>
          </w:p>
        </w:tc>
        <w:tc>
          <w:tcPr>
            <w:tcW w:w="3746"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This is already in place and is documented in the Policy and Procedure.</w:t>
            </w:r>
          </w:p>
        </w:tc>
        <w:tc>
          <w:tcPr>
            <w:tcW w:w="3869"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Review of the Policy and Procedure and development of training materials to enhance risk management training.</w:t>
            </w:r>
          </w:p>
        </w:tc>
      </w:tr>
      <w:tr w:rsidR="00B32DD3" w:rsidRPr="00EB56C5" w:rsidTr="00977EF0">
        <w:trPr>
          <w:trHeight w:val="703"/>
        </w:trPr>
        <w:tc>
          <w:tcPr>
            <w:tcW w:w="33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21</w:t>
            </w:r>
          </w:p>
        </w:tc>
        <w:tc>
          <w:tcPr>
            <w:tcW w:w="5995" w:type="dxa"/>
            <w:tcBorders>
              <w:top w:val="nil"/>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Establish the Risk Management Strategy, framework, roles and responsibilities</w:t>
            </w:r>
          </w:p>
        </w:tc>
        <w:tc>
          <w:tcPr>
            <w:tcW w:w="3746"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 organisation has made the decision that a documented Risk Management Strategy is not required. Roles and responsibilities are clearly articulated in the Policy and Procedure but need reviewing</w:t>
            </w:r>
          </w:p>
        </w:tc>
        <w:tc>
          <w:tcPr>
            <w:tcW w:w="3869"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Revision of the Risk Management Policy and Procedure</w:t>
            </w:r>
          </w:p>
        </w:tc>
      </w:tr>
    </w:tbl>
    <w:p w:rsidR="00B32DD3" w:rsidRDefault="00B32DD3" w:rsidP="00B32DD3"/>
    <w:p w:rsidR="00B32DD3" w:rsidRDefault="00B32DD3" w:rsidP="00B32DD3"/>
    <w:tbl>
      <w:tblPr>
        <w:tblW w:w="13948" w:type="dxa"/>
        <w:tblLook w:val="04A0" w:firstRow="1" w:lastRow="0" w:firstColumn="1" w:lastColumn="0" w:noHBand="0" w:noVBand="1"/>
      </w:tblPr>
      <w:tblGrid>
        <w:gridCol w:w="440"/>
        <w:gridCol w:w="5946"/>
        <w:gridCol w:w="3719"/>
        <w:gridCol w:w="3843"/>
      </w:tblGrid>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Implementing and Benchmarking</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338"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22</w:t>
            </w:r>
          </w:p>
        </w:tc>
        <w:tc>
          <w:tcPr>
            <w:tcW w:w="5995" w:type="dxa"/>
            <w:tcBorders>
              <w:top w:val="single" w:sz="4" w:space="0" w:color="auto"/>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Adopt suitable risk assessment procedures and an agreed risk classification system</w:t>
            </w:r>
          </w:p>
        </w:tc>
        <w:tc>
          <w:tcPr>
            <w:tcW w:w="3746"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In place</w:t>
            </w:r>
          </w:p>
        </w:tc>
        <w:tc>
          <w:tcPr>
            <w:tcW w:w="3869"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703"/>
        </w:trPr>
        <w:tc>
          <w:tcPr>
            <w:tcW w:w="33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23</w:t>
            </w:r>
          </w:p>
        </w:tc>
        <w:tc>
          <w:tcPr>
            <w:tcW w:w="5995" w:type="dxa"/>
            <w:tcBorders>
              <w:top w:val="nil"/>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Establish risk significant benchmarks and undertake risk assessments</w:t>
            </w:r>
          </w:p>
        </w:tc>
        <w:tc>
          <w:tcPr>
            <w:tcW w:w="3746"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In place</w:t>
            </w:r>
          </w:p>
        </w:tc>
        <w:tc>
          <w:tcPr>
            <w:tcW w:w="3869"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703"/>
        </w:trPr>
        <w:tc>
          <w:tcPr>
            <w:tcW w:w="33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24</w:t>
            </w:r>
          </w:p>
        </w:tc>
        <w:tc>
          <w:tcPr>
            <w:tcW w:w="5995" w:type="dxa"/>
            <w:tcBorders>
              <w:top w:val="nil"/>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Determine risk appetite and risk tolerance levels, and evaluate the existing controls</w:t>
            </w:r>
          </w:p>
        </w:tc>
        <w:tc>
          <w:tcPr>
            <w:tcW w:w="3746"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 xml:space="preserve">Whilst this was established for the Board several years ago, there is now a need to revisit the matter </w:t>
            </w:r>
          </w:p>
        </w:tc>
        <w:tc>
          <w:tcPr>
            <w:tcW w:w="3869"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Board development event. Training for the Board and Executive. Establish process and training for Directorate level.</w:t>
            </w:r>
          </w:p>
        </w:tc>
      </w:tr>
    </w:tbl>
    <w:p w:rsidR="00B32DD3" w:rsidRDefault="00B32DD3" w:rsidP="00B32DD3"/>
    <w:tbl>
      <w:tblPr>
        <w:tblW w:w="13948" w:type="dxa"/>
        <w:tblLook w:val="04A0" w:firstRow="1" w:lastRow="0" w:firstColumn="1" w:lastColumn="0" w:noHBand="0" w:noVBand="1"/>
      </w:tblPr>
      <w:tblGrid>
        <w:gridCol w:w="440"/>
        <w:gridCol w:w="5945"/>
        <w:gridCol w:w="3720"/>
        <w:gridCol w:w="3843"/>
      </w:tblGrid>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Measuring and monitoring</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33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599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4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6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338"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25</w:t>
            </w:r>
          </w:p>
        </w:tc>
        <w:tc>
          <w:tcPr>
            <w:tcW w:w="5995" w:type="dxa"/>
            <w:tcBorders>
              <w:top w:val="single" w:sz="4" w:space="0" w:color="auto"/>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Ensure cost effectiveness of existing controls and introduce improvements</w:t>
            </w:r>
          </w:p>
        </w:tc>
        <w:tc>
          <w:tcPr>
            <w:tcW w:w="3746"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No validation or assessment is currently carried out on risk controls</w:t>
            </w:r>
          </w:p>
        </w:tc>
        <w:tc>
          <w:tcPr>
            <w:tcW w:w="3869"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a library of controls</w:t>
            </w:r>
          </w:p>
        </w:tc>
      </w:tr>
      <w:tr w:rsidR="00B32DD3" w:rsidRPr="00EB56C5" w:rsidTr="00977EF0">
        <w:trPr>
          <w:trHeight w:val="703"/>
        </w:trPr>
        <w:tc>
          <w:tcPr>
            <w:tcW w:w="338"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26</w:t>
            </w:r>
          </w:p>
        </w:tc>
        <w:tc>
          <w:tcPr>
            <w:tcW w:w="5995" w:type="dxa"/>
            <w:tcBorders>
              <w:top w:val="nil"/>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Embed risk aware culture and align risk management with other management tasks</w:t>
            </w:r>
          </w:p>
        </w:tc>
        <w:tc>
          <w:tcPr>
            <w:tcW w:w="3746"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Work is ongoing to embed risk management</w:t>
            </w:r>
          </w:p>
        </w:tc>
        <w:tc>
          <w:tcPr>
            <w:tcW w:w="3869"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All of the objectives recommended in this plan will work towards further embedding the culture of risk management.</w:t>
            </w:r>
          </w:p>
        </w:tc>
      </w:tr>
    </w:tbl>
    <w:p w:rsidR="00B32DD3" w:rsidRDefault="00B32DD3" w:rsidP="00B32DD3"/>
    <w:tbl>
      <w:tblPr>
        <w:tblW w:w="13948" w:type="dxa"/>
        <w:tblLook w:val="04A0" w:firstRow="1" w:lastRow="0" w:firstColumn="1" w:lastColumn="0" w:noHBand="0" w:noVBand="1"/>
      </w:tblPr>
      <w:tblGrid>
        <w:gridCol w:w="461"/>
        <w:gridCol w:w="5940"/>
        <w:gridCol w:w="3712"/>
        <w:gridCol w:w="3835"/>
      </w:tblGrid>
      <w:tr w:rsidR="00B32DD3" w:rsidRPr="00EB56C5" w:rsidTr="00977EF0">
        <w:trPr>
          <w:trHeight w:val="331"/>
        </w:trPr>
        <w:tc>
          <w:tcPr>
            <w:tcW w:w="46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tc>
        <w:tc>
          <w:tcPr>
            <w:tcW w:w="594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t>Learning and reporting</w:t>
            </w:r>
          </w:p>
        </w:tc>
        <w:tc>
          <w:tcPr>
            <w:tcW w:w="371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383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r>
      <w:tr w:rsidR="00B32DD3" w:rsidRPr="00EB56C5" w:rsidTr="00977EF0">
        <w:trPr>
          <w:trHeight w:val="331"/>
        </w:trPr>
        <w:tc>
          <w:tcPr>
            <w:tcW w:w="461"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p>
        </w:tc>
        <w:tc>
          <w:tcPr>
            <w:tcW w:w="594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Requirement</w:t>
            </w:r>
          </w:p>
        </w:tc>
        <w:tc>
          <w:tcPr>
            <w:tcW w:w="371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Current position</w:t>
            </w:r>
          </w:p>
        </w:tc>
        <w:tc>
          <w:tcPr>
            <w:tcW w:w="383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Improvement work identified</w:t>
            </w:r>
          </w:p>
        </w:tc>
      </w:tr>
      <w:tr w:rsidR="00B32DD3" w:rsidRPr="00EB56C5" w:rsidTr="00977EF0">
        <w:trPr>
          <w:trHeight w:val="703"/>
        </w:trPr>
        <w:tc>
          <w:tcPr>
            <w:tcW w:w="461"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27</w:t>
            </w:r>
          </w:p>
        </w:tc>
        <w:tc>
          <w:tcPr>
            <w:tcW w:w="5940" w:type="dxa"/>
            <w:tcBorders>
              <w:top w:val="single" w:sz="4" w:space="0" w:color="auto"/>
              <w:left w:val="single" w:sz="8" w:space="0" w:color="auto"/>
              <w:bottom w:val="single" w:sz="4"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Monitor and review risk performance indicators to measure contribution</w:t>
            </w:r>
          </w:p>
        </w:tc>
        <w:tc>
          <w:tcPr>
            <w:tcW w:w="3712" w:type="dxa"/>
            <w:tcBorders>
              <w:top w:val="single" w:sz="4" w:space="0" w:color="auto"/>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There is no current reporting on the risk management system, beyond those provided by internal audit.</w:t>
            </w:r>
          </w:p>
        </w:tc>
        <w:tc>
          <w:tcPr>
            <w:tcW w:w="3835" w:type="dxa"/>
            <w:tcBorders>
              <w:top w:val="single" w:sz="4" w:space="0" w:color="auto"/>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performance management for the risk management system</w:t>
            </w:r>
          </w:p>
        </w:tc>
      </w:tr>
      <w:tr w:rsidR="00B32DD3" w:rsidRPr="00EB56C5" w:rsidTr="00977EF0">
        <w:trPr>
          <w:trHeight w:val="703"/>
        </w:trPr>
        <w:tc>
          <w:tcPr>
            <w:tcW w:w="461"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28</w:t>
            </w:r>
          </w:p>
        </w:tc>
        <w:tc>
          <w:tcPr>
            <w:tcW w:w="5940" w:type="dxa"/>
            <w:tcBorders>
              <w:top w:val="nil"/>
              <w:left w:val="single" w:sz="8" w:space="0" w:color="auto"/>
              <w:bottom w:val="single" w:sz="8" w:space="0" w:color="auto"/>
              <w:right w:val="single" w:sz="4" w:space="0" w:color="auto"/>
            </w:tcBorders>
            <w:shd w:val="clear" w:color="auto" w:fill="auto"/>
            <w:hideMark/>
          </w:tcPr>
          <w:p w:rsidR="00B32DD3" w:rsidRPr="00EB56C5" w:rsidRDefault="00B32DD3" w:rsidP="00977EF0">
            <w:pPr>
              <w:rPr>
                <w:rFonts w:ascii="Calibri" w:eastAsia="Times New Roman" w:hAnsi="Calibri" w:cs="Calibri"/>
                <w:color w:val="000000"/>
                <w:szCs w:val="24"/>
                <w:lang w:eastAsia="en-GB"/>
              </w:rPr>
            </w:pPr>
            <w:r>
              <w:rPr>
                <w:rFonts w:ascii="Calibri" w:hAnsi="Calibri" w:cs="Calibri"/>
                <w:color w:val="000000"/>
              </w:rPr>
              <w:t>Report risk performance in line with legal and other obligations, and monitor improvement</w:t>
            </w:r>
          </w:p>
        </w:tc>
        <w:tc>
          <w:tcPr>
            <w:tcW w:w="3712" w:type="dxa"/>
            <w:tcBorders>
              <w:top w:val="nil"/>
              <w:left w:val="single" w:sz="4" w:space="0" w:color="auto"/>
              <w:bottom w:val="single" w:sz="4" w:space="0" w:color="auto"/>
              <w:right w:val="single" w:sz="4" w:space="0" w:color="auto"/>
            </w:tcBorders>
          </w:tcPr>
          <w:p w:rsidR="00B32DD3" w:rsidRPr="00EB56C5"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There is no current reporting on the risk management system, beyond those provided by internal audit.</w:t>
            </w:r>
          </w:p>
        </w:tc>
        <w:tc>
          <w:tcPr>
            <w:tcW w:w="3835" w:type="dxa"/>
            <w:tcBorders>
              <w:top w:val="nil"/>
              <w:left w:val="single" w:sz="4" w:space="0" w:color="auto"/>
              <w:bottom w:val="single" w:sz="4" w:space="0" w:color="auto"/>
              <w:right w:val="single" w:sz="4" w:space="0" w:color="auto"/>
            </w:tcBorders>
          </w:tcPr>
          <w:p w:rsidR="00B32DD3" w:rsidRDefault="00B32DD3" w:rsidP="00977EF0">
            <w:pPr>
              <w:rPr>
                <w:rFonts w:ascii="Calibri" w:eastAsia="Times New Roman" w:hAnsi="Calibri" w:cs="Calibri"/>
                <w:color w:val="000000"/>
                <w:szCs w:val="24"/>
                <w:lang w:eastAsia="en-GB"/>
              </w:rPr>
            </w:pPr>
            <w:r>
              <w:rPr>
                <w:rFonts w:ascii="Calibri" w:eastAsia="Times New Roman" w:hAnsi="Calibri" w:cs="Calibri"/>
                <w:color w:val="000000"/>
                <w:szCs w:val="24"/>
                <w:lang w:eastAsia="en-GB"/>
              </w:rPr>
              <w:t>Establish performance management for the risk management system</w:t>
            </w:r>
          </w:p>
        </w:tc>
      </w:tr>
    </w:tbl>
    <w:p w:rsidR="00B32DD3" w:rsidRDefault="00B32DD3"/>
    <w:sectPr w:rsidR="00B32DD3" w:rsidSect="00B32DD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36913"/>
    <w:multiLevelType w:val="hybridMultilevel"/>
    <w:tmpl w:val="8C9E2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4F4704"/>
    <w:multiLevelType w:val="hybridMultilevel"/>
    <w:tmpl w:val="43C06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A584713"/>
    <w:multiLevelType w:val="hybridMultilevel"/>
    <w:tmpl w:val="D19A9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4250C34"/>
    <w:multiLevelType w:val="multilevel"/>
    <w:tmpl w:val="0809001F"/>
    <w:lvl w:ilvl="0">
      <w:start w:val="1"/>
      <w:numFmt w:val="decimal"/>
      <w:lvlText w:val="%1."/>
      <w:lvlJc w:val="left"/>
      <w:pPr>
        <w:ind w:left="360" w:hanging="360"/>
      </w:pPr>
    </w:lvl>
    <w:lvl w:ilvl="1">
      <w:start w:val="1"/>
      <w:numFmt w:val="decimal"/>
      <w:lvlText w:val="%1.%2."/>
      <w:lvlJc w:val="left"/>
      <w:pPr>
        <w:ind w:left="241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94926651">
    <w:abstractNumId w:val="3"/>
  </w:num>
  <w:num w:numId="2" w16cid:durableId="1220357852">
    <w:abstractNumId w:val="2"/>
  </w:num>
  <w:num w:numId="3" w16cid:durableId="1288582701">
    <w:abstractNumId w:val="1"/>
  </w:num>
  <w:num w:numId="4" w16cid:durableId="9249957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60FA"/>
    <w:rsid w:val="00484BB8"/>
    <w:rsid w:val="00570A45"/>
    <w:rsid w:val="00B32DD3"/>
    <w:rsid w:val="00CA60FA"/>
    <w:rsid w:val="00D36C85"/>
    <w:rsid w:val="00F135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57E8A"/>
  <w15:chartTrackingRefBased/>
  <w15:docId w15:val="{4AAD10A4-560F-4214-A62E-5BC7FD908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4BB8"/>
    <w:pPr>
      <w:keepNext/>
      <w:keepLines/>
      <w:spacing w:before="480"/>
      <w:outlineLvl w:val="0"/>
    </w:pPr>
    <w:rPr>
      <w:rFonts w:ascii="Verdana" w:eastAsiaTheme="majorEastAsia" w:hAnsi="Verdana" w:cstheme="majorBidi"/>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BB8"/>
    <w:rPr>
      <w:rFonts w:ascii="Verdana" w:eastAsiaTheme="majorEastAsia" w:hAnsi="Verdana" w:cstheme="majorBidi"/>
      <w:b/>
      <w:bCs/>
      <w:sz w:val="24"/>
      <w:szCs w:val="28"/>
    </w:rPr>
  </w:style>
  <w:style w:type="paragraph" w:styleId="ListParagraph">
    <w:name w:val="List Paragraph"/>
    <w:basedOn w:val="Normal"/>
    <w:uiPriority w:val="34"/>
    <w:qFormat/>
    <w:rsid w:val="00484BB8"/>
    <w:pPr>
      <w:ind w:left="720"/>
      <w:contextualSpacing/>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Report</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2C037D32-BE6F-48B4-9EE7-70985D07F3F1}"/>
</file>

<file path=customXml/itemProps2.xml><?xml version="1.0" encoding="utf-8"?>
<ds:datastoreItem xmlns:ds="http://schemas.openxmlformats.org/officeDocument/2006/customXml" ds:itemID="{F35D8AC2-8B60-4D69-8B8A-98074E37B39A}"/>
</file>

<file path=customXml/itemProps3.xml><?xml version="1.0" encoding="utf-8"?>
<ds:datastoreItem xmlns:ds="http://schemas.openxmlformats.org/officeDocument/2006/customXml" ds:itemID="{62E1FB4F-2CF5-4863-BC60-C9A7A40146BC}"/>
</file>

<file path=docProps/app.xml><?xml version="1.0" encoding="utf-8"?>
<Properties xmlns="http://schemas.openxmlformats.org/officeDocument/2006/extended-properties" xmlns:vt="http://schemas.openxmlformats.org/officeDocument/2006/docPropsVTypes">
  <Template>Normal.dotm</Template>
  <TotalTime>0</TotalTime>
  <Pages>1</Pages>
  <Words>1516</Words>
  <Characters>8646</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10142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Bethan Osborne (Public Health Wales - No. 2 Capital Quarter)</dc:creator>
  <cp:keywords/>
  <dc:description/>
  <cp:lastModifiedBy>Liz Blayney (Public Health Wales - No. 2 Capital Quarter)</cp:lastModifiedBy>
  <cp:revision>1</cp:revision>
  <dcterms:created xsi:type="dcterms:W3CDTF">2023-08-09T13:20:00Z</dcterms:created>
  <dcterms:modified xsi:type="dcterms:W3CDTF">2023-08-09T13:20:00Z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PublishedonWeb">
    <vt:lpwstr>Yes</vt:lpwstr>
  </property>
  <property fmtid="{D5CDD505-2E9C-101B-9397-08002B2CF9AE}" pid="4" name="PublishedonAdmincontrol">
    <vt:lpwstr>Yes</vt:lpwstr>
  </property>
</Properties>
</file>